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notes.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cs="Arial"/>
        </w:rPr>
      </w:pPr>
      <w:r>
        <w:rPr>
          <w:rFonts w:cs="Arial" w:ascii="Arial" w:hAnsi="Arial"/>
        </w:rPr>
        <w:t>An den Bundespräsidenten</w:t>
        <w:tab/>
        <w:tab/>
        <w:tab/>
        <w:tab/>
        <w:t>Absenderin</w:t>
      </w:r>
    </w:p>
    <w:p>
      <w:pPr>
        <w:pStyle w:val="Normal"/>
        <w:jc w:val="both"/>
        <w:rPr>
          <w:rFonts w:ascii="Arial" w:hAnsi="Arial" w:cs="Arial"/>
        </w:rPr>
      </w:pPr>
      <w:r>
        <w:rPr>
          <w:rFonts w:cs="Arial" w:ascii="Arial" w:hAnsi="Arial"/>
        </w:rPr>
        <w:t>Herrn Dr. Frank-Walter Steinmeier</w:t>
        <w:tab/>
        <w:tab/>
        <w:tab/>
        <w:t>[Vorname, Name, Anschrift, Mailadresse]</w:t>
      </w:r>
    </w:p>
    <w:p>
      <w:pPr>
        <w:pStyle w:val="Normal"/>
        <w:jc w:val="both"/>
        <w:rPr>
          <w:rFonts w:ascii="Arial" w:hAnsi="Arial" w:cs="Arial"/>
        </w:rPr>
      </w:pPr>
      <w:r>
        <w:rPr>
          <w:rFonts w:cs="Arial" w:ascii="Arial" w:hAnsi="Arial"/>
        </w:rPr>
        <w:t>Schloss Bellevue Spreeweg 1</w:t>
      </w:r>
    </w:p>
    <w:p>
      <w:pPr>
        <w:pStyle w:val="Normal"/>
        <w:jc w:val="both"/>
        <w:rPr>
          <w:rFonts w:ascii="Arial" w:hAnsi="Arial" w:cs="Arial"/>
        </w:rPr>
      </w:pPr>
      <w:r>
        <w:rPr>
          <w:rFonts w:cs="Arial" w:ascii="Arial" w:hAnsi="Arial"/>
        </w:rPr>
        <w:t>10557 Berlin</w:t>
      </w:r>
    </w:p>
    <w:p>
      <w:pPr>
        <w:pStyle w:val="Normal"/>
        <w:jc w:val="both"/>
        <w:rPr/>
      </w:pPr>
      <w:hyperlink r:id="rId2">
        <w:r>
          <w:rPr>
            <w:rStyle w:val="Internetverknpfung"/>
            <w:rFonts w:cs="Arial" w:ascii="Arial" w:hAnsi="Arial"/>
          </w:rPr>
          <w:t>bundespraesidialamt@bpra.bund.de</w:t>
        </w:r>
      </w:hyperlink>
      <w:r>
        <w:rPr>
          <w:rFonts w:cs="Arial" w:ascii="Arial" w:hAnsi="Arial"/>
        </w:rPr>
        <w:t xml:space="preserve"> </w:t>
      </w:r>
    </w:p>
    <w:p>
      <w:pPr>
        <w:pStyle w:val="Normal"/>
        <w:jc w:val="both"/>
        <w:rPr>
          <w:rFonts w:ascii="Arial" w:hAnsi="Arial" w:cs="Arial"/>
        </w:rPr>
      </w:pPr>
      <w:r>
        <w:rPr>
          <w:rFonts w:cs="Arial" w:ascii="Arial" w:hAnsi="Arial"/>
        </w:rPr>
      </w:r>
    </w:p>
    <w:p>
      <w:pPr>
        <w:pStyle w:val="Normal"/>
        <w:rPr>
          <w:rFonts w:ascii="Arial" w:hAnsi="Arial" w:cs="Arial"/>
        </w:rPr>
      </w:pPr>
      <w:r>
        <w:rPr>
          <w:rFonts w:cs="Arial" w:ascii="Arial" w:hAnsi="Arial"/>
          <w:b/>
          <w:bCs/>
        </w:rPr>
        <w:t>DAS „SELBSTBESTIMMUNGSGESETZ“ (SBGG) IST VERFASSUNGSWIDRIG</w:t>
        <w:br/>
        <w:t>BITTE UNTERZEICHNEN SIE DAS GESETZ NICHT</w:t>
        <w:tab/>
        <w:tab/>
        <w:tab/>
        <w:t xml:space="preserve"> </w:t>
        <w:br/>
        <w:br/>
      </w:r>
      <w:r>
        <w:rPr>
          <w:rFonts w:cs="Arial" w:ascii="Arial" w:hAnsi="Arial"/>
        </w:rPr>
        <w:t>Ort, den …………...</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Sehr geehrter Herr Bundespräsident,</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am 12. April 2024 hat der Bundestag trotz massiver Kritik von Frauen- und Elterninitiativen sowie vielen Abgeordneten der Oppositionsparteien das sog. Selbstbestimmungsgesetz (SBGG) verabschiedet. Ich bitte Sie in Ihrer Eigenschaft als Bundespräsident mit der Ihrem Amt innewohnenden verfassungsrechtlichen Prüfkompetenz das Gesetz nicht zu unterzeichnen. </w:t>
      </w:r>
    </w:p>
    <w:p>
      <w:pPr>
        <w:pStyle w:val="Normal"/>
        <w:jc w:val="both"/>
        <w:rPr>
          <w:rFonts w:ascii="Arial" w:hAnsi="Arial" w:cs="Arial"/>
        </w:rPr>
      </w:pPr>
      <w:r>
        <w:rPr>
          <w:rFonts w:cs="Arial" w:ascii="Arial" w:hAnsi="Arial"/>
        </w:rPr>
        <w:t xml:space="preserve">Nach dem SBGG </w:t>
      </w:r>
      <w:r>
        <w:rPr>
          <w:rFonts w:cs="Arial" w:ascii="Arial" w:hAnsi="Arial"/>
          <w:b/>
          <w:bCs/>
        </w:rPr>
        <w:t>wird</w:t>
      </w:r>
      <w:r>
        <w:rPr>
          <w:rFonts w:cs="Arial" w:ascii="Arial" w:hAnsi="Arial"/>
        </w:rPr>
        <w:t xml:space="preserve"> </w:t>
      </w:r>
      <w:r>
        <w:rPr>
          <w:rFonts w:cs="Arial" w:ascii="Arial" w:hAnsi="Arial"/>
          <w:b/>
          <w:bCs/>
        </w:rPr>
        <w:t>Geschlecht</w:t>
      </w:r>
      <w:r>
        <w:rPr>
          <w:rFonts w:cs="Arial" w:ascii="Arial" w:hAnsi="Arial"/>
        </w:rPr>
        <w:t xml:space="preserve"> trotz der rechtlich ungesicherten und naturwissenschaftlich unhaltbaren Ausgangsposition </w:t>
      </w:r>
      <w:r>
        <w:rPr>
          <w:rFonts w:cs="Arial" w:ascii="Arial" w:hAnsi="Arial"/>
          <w:b/>
          <w:bCs/>
        </w:rPr>
        <w:t>mit „Geschlechtsidentität“ gleichgesetzt</w:t>
      </w:r>
      <w:r>
        <w:rPr>
          <w:rFonts w:cs="Arial" w:ascii="Arial" w:hAnsi="Arial"/>
        </w:rPr>
        <w:t>, indem die gesetzlichen Hürden für den jährlich möglichen Wechsel des Geschlechtseintrags für jedefrau und jedermann mit einer behaupteten „abweichenden Geschlechtsidentität“ beseitigt werden.</w:t>
      </w:r>
    </w:p>
    <w:p>
      <w:pPr>
        <w:pStyle w:val="Normal"/>
        <w:jc w:val="both"/>
        <w:rPr>
          <w:rFonts w:ascii="Arial" w:hAnsi="Arial" w:cs="Arial"/>
        </w:rPr>
      </w:pPr>
      <w:r>
        <w:rPr>
          <w:rFonts w:cs="Arial" w:ascii="Arial" w:hAnsi="Arial"/>
        </w:rPr>
        <w:t>Dies impliziert:</w:t>
      </w:r>
    </w:p>
    <w:p>
      <w:pPr>
        <w:pStyle w:val="ListParagraph"/>
        <w:numPr>
          <w:ilvl w:val="0"/>
          <w:numId w:val="1"/>
        </w:numPr>
        <w:jc w:val="both"/>
        <w:rPr>
          <w:rFonts w:ascii="Arial" w:hAnsi="Arial" w:cs="Arial"/>
        </w:rPr>
      </w:pPr>
      <w:r>
        <w:rPr>
          <w:rFonts w:cs="Arial" w:ascii="Arial" w:hAnsi="Arial"/>
        </w:rPr>
        <w:t xml:space="preserve">Die Verwendung der kaum abgrenzbaren unbestimmten Rechtsbegriffe „Geschlechts-identität“ und „nichtbinär“ für eine beliebige Änderung des Geschlechtseintrages im Personenstandsregister </w:t>
      </w:r>
      <w:r>
        <w:rPr>
          <w:rFonts w:cs="Arial" w:ascii="Arial" w:hAnsi="Arial"/>
          <w:b/>
          <w:bCs/>
        </w:rPr>
        <w:t>verstößt</w:t>
      </w:r>
      <w:r>
        <w:rPr>
          <w:rFonts w:cs="Arial" w:ascii="Arial" w:hAnsi="Arial"/>
        </w:rPr>
        <w:t xml:space="preserve"> gegen die </w:t>
      </w:r>
      <w:r>
        <w:rPr>
          <w:rFonts w:cs="Arial" w:ascii="Arial" w:hAnsi="Arial"/>
          <w:b/>
          <w:bCs/>
        </w:rPr>
        <w:t>rechtsstaatlichen Grundsätze</w:t>
      </w:r>
      <w:r>
        <w:rPr>
          <w:rFonts w:cs="Arial" w:ascii="Arial" w:hAnsi="Arial"/>
        </w:rPr>
        <w:t xml:space="preserve"> der </w:t>
      </w:r>
      <w:r>
        <w:rPr>
          <w:rFonts w:cs="Arial" w:ascii="Arial" w:hAnsi="Arial"/>
          <w:b/>
          <w:bCs/>
        </w:rPr>
        <w:t>Normenbestimmtheit und Normenklarheit</w:t>
      </w:r>
      <w:r>
        <w:rPr>
          <w:rFonts w:cs="Arial" w:ascii="Arial" w:hAnsi="Arial"/>
        </w:rPr>
        <w:t xml:space="preserve"> und hat damit Missbrauchspotential.</w:t>
        <w:br/>
      </w:r>
    </w:p>
    <w:p>
      <w:pPr>
        <w:pStyle w:val="Normal"/>
        <w:jc w:val="both"/>
        <w:rPr>
          <w:rFonts w:ascii="Arial" w:hAnsi="Arial" w:cs="Arial"/>
        </w:rPr>
      </w:pPr>
      <w:r>
        <w:rPr>
          <w:rFonts w:cs="Arial" w:ascii="Arial" w:hAnsi="Arial"/>
        </w:rPr>
        <w:t xml:space="preserve">Die absehbaren Folgen für </w:t>
      </w:r>
      <w:r>
        <w:rPr>
          <w:rFonts w:cs="Arial" w:ascii="Arial" w:hAnsi="Arial"/>
          <w:b/>
          <w:bCs/>
        </w:rPr>
        <w:t>Frauen</w:t>
      </w:r>
      <w:r>
        <w:rPr>
          <w:rFonts w:cs="Arial" w:ascii="Arial" w:hAnsi="Arial"/>
        </w:rPr>
        <w:t xml:space="preserve"> sowie Eingriffe in die Rechte von </w:t>
      </w:r>
      <w:r>
        <w:rPr>
          <w:rFonts w:cs="Arial" w:ascii="Arial" w:hAnsi="Arial"/>
          <w:b/>
          <w:bCs/>
        </w:rPr>
        <w:t>Eltern</w:t>
      </w:r>
      <w:r>
        <w:rPr>
          <w:rFonts w:cs="Arial" w:ascii="Arial" w:hAnsi="Arial"/>
        </w:rPr>
        <w:t xml:space="preserve"> und die drakonischen Bußgeldandrohungen für </w:t>
      </w:r>
      <w:r>
        <w:rPr>
          <w:rFonts w:cs="Arial" w:ascii="Arial" w:hAnsi="Arial"/>
          <w:b/>
          <w:bCs/>
        </w:rPr>
        <w:t>alle</w:t>
      </w:r>
      <w:r>
        <w:rPr>
          <w:rFonts w:cs="Arial" w:ascii="Arial" w:hAnsi="Arial"/>
        </w:rPr>
        <w:t xml:space="preserve"> bei Verletzung des Offenbarungsverbots sind </w:t>
      </w:r>
      <w:r>
        <w:rPr>
          <w:rFonts w:cs="Arial" w:ascii="Arial" w:hAnsi="Arial"/>
          <w:b/>
          <w:bCs/>
        </w:rPr>
        <w:t>gravierend</w:t>
      </w:r>
      <w:r>
        <w:rPr>
          <w:rFonts w:cs="Arial" w:ascii="Arial" w:hAnsi="Arial"/>
        </w:rPr>
        <w:t>:</w:t>
        <w:br/>
      </w:r>
    </w:p>
    <w:p>
      <w:pPr>
        <w:pStyle w:val="ListParagraph"/>
        <w:numPr>
          <w:ilvl w:val="0"/>
          <w:numId w:val="2"/>
        </w:numPr>
        <w:jc w:val="both"/>
        <w:rPr>
          <w:rFonts w:ascii="Arial" w:hAnsi="Arial" w:cs="Arial"/>
        </w:rPr>
      </w:pPr>
      <w:r>
        <w:rPr>
          <w:rFonts w:cs="Arial" w:ascii="Arial" w:hAnsi="Arial"/>
        </w:rPr>
        <w:t xml:space="preserve">Der Geschlechtseintrag im Personenstandsregister </w:t>
      </w:r>
      <w:r>
        <w:rPr>
          <w:rFonts w:cs="Arial" w:ascii="Arial" w:hAnsi="Arial"/>
          <w:b/>
          <w:bCs/>
        </w:rPr>
        <w:t>verliert seine</w:t>
      </w:r>
      <w:r>
        <w:rPr>
          <w:rFonts w:cs="Arial" w:ascii="Arial" w:hAnsi="Arial"/>
        </w:rPr>
        <w:t xml:space="preserve"> </w:t>
      </w:r>
      <w:r>
        <w:rPr>
          <w:rFonts w:cs="Arial" w:ascii="Arial" w:hAnsi="Arial"/>
          <w:b/>
          <w:bCs/>
        </w:rPr>
        <w:t>Beweisfunktion</w:t>
      </w:r>
      <w:r>
        <w:rPr>
          <w:rFonts w:cs="Arial" w:ascii="Arial" w:hAnsi="Arial"/>
        </w:rPr>
        <w:t xml:space="preserve">. Damit wird die Durchsetzung </w:t>
      </w:r>
      <w:r>
        <w:rPr>
          <w:rFonts w:cs="Arial" w:ascii="Arial" w:hAnsi="Arial"/>
          <w:b/>
          <w:bCs/>
        </w:rPr>
        <w:t xml:space="preserve">geschlechtsbasierter Rechte von Frauen und Mädchen nach Art. 3 Abs. (2) Grundgesetz </w:t>
      </w:r>
      <w:r>
        <w:rPr>
          <w:rFonts w:cs="Arial" w:ascii="Arial" w:hAnsi="Arial"/>
        </w:rPr>
        <w:t xml:space="preserve">erschwert, wenn nicht </w:t>
      </w:r>
      <w:r>
        <w:rPr>
          <w:rFonts w:cs="Arial" w:ascii="Arial" w:hAnsi="Arial"/>
          <w:b/>
          <w:bCs/>
        </w:rPr>
        <w:t>unmöglich gemacht</w:t>
      </w:r>
      <w:r>
        <w:rPr>
          <w:rFonts w:cs="Arial" w:ascii="Arial" w:hAnsi="Arial"/>
        </w:rPr>
        <w:t>:</w:t>
      </w:r>
    </w:p>
    <w:p>
      <w:pPr>
        <w:pStyle w:val="ListParagraph"/>
        <w:jc w:val="both"/>
        <w:rPr>
          <w:rFonts w:ascii="Arial" w:hAnsi="Arial" w:cs="Arial"/>
        </w:rPr>
      </w:pPr>
      <w:r>
        <w:rPr>
          <w:rFonts w:cs="Arial" w:ascii="Arial" w:hAnsi="Arial"/>
        </w:rPr>
      </w:r>
    </w:p>
    <w:p>
      <w:pPr>
        <w:pStyle w:val="ListParagraph"/>
        <w:numPr>
          <w:ilvl w:val="0"/>
          <w:numId w:val="3"/>
        </w:numPr>
        <w:jc w:val="both"/>
        <w:rPr>
          <w:rFonts w:ascii="Arial" w:hAnsi="Arial" w:cs="Arial"/>
        </w:rPr>
      </w:pPr>
      <w:r>
        <w:rPr>
          <w:rFonts w:cs="Arial" w:ascii="Arial" w:hAnsi="Arial"/>
        </w:rPr>
        <w:t xml:space="preserve">Die vorgesehenen Regelungen für </w:t>
      </w:r>
      <w:r>
        <w:rPr>
          <w:rFonts w:cs="Arial" w:ascii="Arial" w:hAnsi="Arial"/>
          <w:b/>
          <w:bCs/>
        </w:rPr>
        <w:t>geschlechtsspezifische Räume</w:t>
      </w:r>
      <w:r>
        <w:rPr>
          <w:rFonts w:cs="Arial" w:ascii="Arial" w:hAnsi="Arial"/>
        </w:rPr>
        <w:t xml:space="preserve"> und </w:t>
      </w:r>
      <w:r>
        <w:rPr>
          <w:rFonts w:cs="Arial" w:ascii="Arial" w:hAnsi="Arial"/>
          <w:b/>
          <w:bCs/>
        </w:rPr>
        <w:t>gesellschaftliche</w:t>
      </w:r>
      <w:r>
        <w:rPr>
          <w:rFonts w:cs="Arial" w:ascii="Arial" w:hAnsi="Arial"/>
        </w:rPr>
        <w:t xml:space="preserve"> </w:t>
      </w:r>
      <w:r>
        <w:rPr>
          <w:rFonts w:cs="Arial" w:ascii="Arial" w:hAnsi="Arial"/>
          <w:b/>
          <w:bCs/>
        </w:rPr>
        <w:t>Teilhabe</w:t>
      </w:r>
      <w:r>
        <w:rPr>
          <w:rFonts w:cs="Arial" w:ascii="Arial" w:hAnsi="Arial"/>
        </w:rPr>
        <w:t xml:space="preserve"> von </w:t>
      </w:r>
      <w:r>
        <w:rPr>
          <w:rFonts w:cs="Arial" w:ascii="Arial" w:hAnsi="Arial"/>
          <w:b/>
          <w:bCs/>
        </w:rPr>
        <w:t>Frauen und Mädchen</w:t>
      </w:r>
      <w:r>
        <w:rPr>
          <w:rFonts w:cs="Arial" w:ascii="Arial" w:hAnsi="Arial"/>
        </w:rPr>
        <w:t xml:space="preserve"> (Hausrecht, Länderkompetenz, Strafrecht, private Satzungshoheit) sind für deren Schutz und gesellschaftliche Teilhabe </w:t>
      </w:r>
      <w:r>
        <w:rPr>
          <w:rFonts w:cs="Arial" w:ascii="Arial" w:hAnsi="Arial"/>
          <w:b/>
          <w:bCs/>
        </w:rPr>
        <w:t>ungeeignet</w:t>
      </w:r>
      <w:r>
        <w:rPr>
          <w:rFonts w:cs="Arial" w:ascii="Arial" w:hAnsi="Arial"/>
        </w:rPr>
        <w:t>.</w:t>
      </w:r>
    </w:p>
    <w:p>
      <w:pPr>
        <w:pStyle w:val="ListParagraph"/>
        <w:numPr>
          <w:ilvl w:val="0"/>
          <w:numId w:val="3"/>
        </w:numPr>
        <w:jc w:val="both"/>
        <w:rPr>
          <w:rFonts w:ascii="Arial" w:hAnsi="Arial" w:cs="Arial"/>
        </w:rPr>
      </w:pPr>
      <w:r>
        <w:rPr>
          <w:rFonts w:cs="Arial" w:ascii="Arial" w:hAnsi="Arial"/>
        </w:rPr>
        <w:t xml:space="preserve">Rechte für </w:t>
      </w:r>
      <w:r>
        <w:rPr>
          <w:rFonts w:cs="Arial" w:ascii="Arial" w:hAnsi="Arial"/>
          <w:b/>
          <w:bCs/>
        </w:rPr>
        <w:t>Frauen</w:t>
      </w:r>
      <w:r>
        <w:rPr>
          <w:rFonts w:cs="Arial" w:ascii="Arial" w:hAnsi="Arial"/>
        </w:rPr>
        <w:t xml:space="preserve"> bei der </w:t>
      </w:r>
      <w:r>
        <w:rPr>
          <w:rFonts w:cs="Arial" w:ascii="Arial" w:hAnsi="Arial"/>
          <w:b/>
          <w:bCs/>
        </w:rPr>
        <w:t xml:space="preserve">Besetzung von quotierten Stellen </w:t>
      </w:r>
      <w:r>
        <w:rPr>
          <w:rFonts w:cs="Arial" w:ascii="Arial" w:hAnsi="Arial"/>
        </w:rPr>
        <w:t>im Berufsleben</w:t>
      </w:r>
      <w:r>
        <w:rPr>
          <w:rFonts w:cs="Arial" w:ascii="Arial" w:hAnsi="Arial"/>
          <w:b/>
          <w:bCs/>
        </w:rPr>
        <w:t xml:space="preserve">, </w:t>
      </w:r>
      <w:r>
        <w:rPr>
          <w:rFonts w:cs="Arial" w:ascii="Arial" w:hAnsi="Arial"/>
        </w:rPr>
        <w:t xml:space="preserve">z.B. die Positionen der Gleichstellungsbeauftragten, ihrer Stellvertreterinnen und Vertrauensfrauen, sind </w:t>
      </w:r>
      <w:r>
        <w:rPr>
          <w:rFonts w:cs="Arial" w:ascii="Arial" w:hAnsi="Arial"/>
          <w:b/>
          <w:bCs/>
        </w:rPr>
        <w:t>fortan mit biologischen Männern zu teilen</w:t>
      </w:r>
      <w:r>
        <w:rPr>
          <w:rFonts w:cs="Arial" w:ascii="Arial" w:hAnsi="Arial"/>
        </w:rPr>
        <w:t>, welche einen weiblichen Geschlechtseintrag im Personenstandsregister haben.</w:t>
      </w:r>
    </w:p>
    <w:p>
      <w:pPr>
        <w:pStyle w:val="ListParagraph"/>
        <w:numPr>
          <w:ilvl w:val="0"/>
          <w:numId w:val="3"/>
        </w:numPr>
        <w:jc w:val="both"/>
        <w:rPr>
          <w:rFonts w:ascii="Arial" w:hAnsi="Arial" w:cs="Arial"/>
        </w:rPr>
      </w:pPr>
      <w:r>
        <w:rPr>
          <w:rFonts w:cs="Arial" w:ascii="Arial" w:hAnsi="Arial"/>
        </w:rPr>
        <w:t xml:space="preserve">Das </w:t>
      </w:r>
      <w:r>
        <w:rPr>
          <w:rFonts w:cs="Arial" w:ascii="Arial" w:hAnsi="Arial"/>
          <w:b/>
          <w:bCs/>
        </w:rPr>
        <w:t>Gleichberechtigungsgebot</w:t>
      </w:r>
      <w:r>
        <w:rPr>
          <w:rFonts w:cs="Arial" w:ascii="Arial" w:hAnsi="Arial"/>
        </w:rPr>
        <w:t xml:space="preserve"> und der </w:t>
      </w:r>
      <w:r>
        <w:rPr>
          <w:rFonts w:cs="Arial" w:ascii="Arial" w:hAnsi="Arial"/>
          <w:b/>
          <w:bCs/>
        </w:rPr>
        <w:t>besondere Diskriminierungsschutz</w:t>
      </w:r>
      <w:r>
        <w:rPr>
          <w:rFonts w:cs="Arial" w:ascii="Arial" w:hAnsi="Arial"/>
        </w:rPr>
        <w:t xml:space="preserve"> nach </w:t>
      </w:r>
      <w:r>
        <w:rPr>
          <w:rFonts w:cs="Arial" w:ascii="Arial" w:hAnsi="Arial"/>
          <w:b/>
          <w:bCs/>
        </w:rPr>
        <w:t>Art. 3 Abs. (2) und (3) GG</w:t>
      </w:r>
      <w:r>
        <w:rPr>
          <w:rFonts w:cs="Arial" w:ascii="Arial" w:hAnsi="Arial"/>
        </w:rPr>
        <w:t xml:space="preserve"> werden </w:t>
      </w:r>
      <w:r>
        <w:rPr>
          <w:rFonts w:cs="Arial" w:ascii="Arial" w:hAnsi="Arial"/>
          <w:b/>
          <w:bCs/>
        </w:rPr>
        <w:t xml:space="preserve">ausgehöhlt, </w:t>
      </w:r>
      <w:r>
        <w:rPr>
          <w:rFonts w:cs="Arial" w:ascii="Arial" w:hAnsi="Arial"/>
        </w:rPr>
        <w:t>indem es auf Männer mit „weiblicher Geschlechtsidentität“ ausgeweitet wird.</w:t>
      </w:r>
    </w:p>
    <w:p>
      <w:pPr>
        <w:pStyle w:val="ListParagraph"/>
        <w:numPr>
          <w:ilvl w:val="0"/>
          <w:numId w:val="3"/>
        </w:numPr>
        <w:jc w:val="both"/>
        <w:rPr>
          <w:rFonts w:ascii="Arial" w:hAnsi="Arial" w:cs="Arial"/>
        </w:rPr>
      </w:pPr>
      <w:r>
        <w:rPr>
          <w:rFonts w:cs="Arial" w:ascii="Arial" w:hAnsi="Arial"/>
          <w:b/>
          <w:bCs/>
        </w:rPr>
        <w:t>Statistiken über die Verteilung der biologischen Geschlechter</w:t>
      </w:r>
      <w:r>
        <w:rPr>
          <w:rFonts w:cs="Arial" w:ascii="Arial" w:hAnsi="Arial"/>
        </w:rPr>
        <w:t xml:space="preserve"> werden </w:t>
      </w:r>
      <w:r>
        <w:rPr>
          <w:rFonts w:cs="Arial" w:ascii="Arial" w:hAnsi="Arial"/>
          <w:b/>
          <w:bCs/>
        </w:rPr>
        <w:t>unbrauchbar</w:t>
      </w:r>
      <w:r>
        <w:rPr>
          <w:rFonts w:cs="Arial" w:ascii="Arial" w:hAnsi="Arial"/>
        </w:rPr>
        <w:t xml:space="preserve">, zumindest erheblich verzerrt. Außerdem werden auf der Statistik beruhende </w:t>
      </w:r>
      <w:r>
        <w:rPr>
          <w:rFonts w:cs="Arial" w:ascii="Arial" w:hAnsi="Arial"/>
          <w:b/>
          <w:bCs/>
        </w:rPr>
        <w:t xml:space="preserve">Prognosen, Gutachten und Maßnahmen gegen Diskriminierung </w:t>
      </w:r>
      <w:r>
        <w:rPr>
          <w:rFonts w:cs="Arial" w:ascii="Arial" w:hAnsi="Arial"/>
        </w:rPr>
        <w:t xml:space="preserve">erschwert oder </w:t>
      </w:r>
      <w:r>
        <w:rPr>
          <w:rFonts w:cs="Arial" w:ascii="Arial" w:hAnsi="Arial"/>
          <w:b/>
          <w:bCs/>
        </w:rPr>
        <w:t>unmöglich gemacht</w:t>
      </w:r>
      <w:r>
        <w:rPr>
          <w:rFonts w:cs="Arial" w:ascii="Arial" w:hAnsi="Arial"/>
        </w:rPr>
        <w:t>.</w:t>
      </w:r>
    </w:p>
    <w:p>
      <w:pPr>
        <w:pStyle w:val="ListParagraph"/>
        <w:jc w:val="both"/>
        <w:rPr>
          <w:rFonts w:ascii="Arial" w:hAnsi="Arial" w:cs="Arial"/>
        </w:rPr>
      </w:pPr>
      <w:r>
        <w:rPr>
          <w:rFonts w:cs="Arial" w:ascii="Arial" w:hAnsi="Arial"/>
        </w:rPr>
      </w:r>
    </w:p>
    <w:p>
      <w:pPr>
        <w:pStyle w:val="ListParagraph"/>
        <w:numPr>
          <w:ilvl w:val="0"/>
          <w:numId w:val="2"/>
        </w:numPr>
        <w:jc w:val="both"/>
        <w:rPr>
          <w:rFonts w:ascii="Arial" w:hAnsi="Arial" w:cs="Arial"/>
        </w:rPr>
      </w:pPr>
      <w:r>
        <w:rPr>
          <w:rFonts w:cs="Arial" w:ascii="Arial" w:hAnsi="Arial"/>
          <w:b/>
          <w:bCs/>
        </w:rPr>
        <w:t>Elternrechte</w:t>
      </w:r>
      <w:r>
        <w:rPr>
          <w:rFonts w:cs="Arial" w:ascii="Arial" w:hAnsi="Arial"/>
        </w:rPr>
        <w:t xml:space="preserve"> nach Art. 6 Abs. (2) Satz 1 GG und das </w:t>
      </w:r>
      <w:r>
        <w:rPr>
          <w:rFonts w:cs="Arial" w:ascii="Arial" w:hAnsi="Arial"/>
          <w:b/>
          <w:bCs/>
        </w:rPr>
        <w:t xml:space="preserve">Kindeswohl </w:t>
      </w:r>
      <w:r>
        <w:rPr>
          <w:rFonts w:cs="Arial" w:ascii="Arial" w:hAnsi="Arial"/>
        </w:rPr>
        <w:t xml:space="preserve">werden </w:t>
      </w:r>
      <w:r>
        <w:rPr>
          <w:rFonts w:cs="Arial" w:ascii="Arial" w:hAnsi="Arial"/>
          <w:b/>
          <w:bCs/>
        </w:rPr>
        <w:t>verletzt</w:t>
      </w:r>
      <w:r>
        <w:rPr>
          <w:rFonts w:cs="Arial" w:ascii="Arial" w:hAnsi="Arial"/>
        </w:rPr>
        <w:t>:</w:t>
      </w:r>
    </w:p>
    <w:p>
      <w:pPr>
        <w:pStyle w:val="ListParagraph"/>
        <w:numPr>
          <w:ilvl w:val="0"/>
          <w:numId w:val="4"/>
        </w:numPr>
        <w:jc w:val="both"/>
        <w:rPr>
          <w:rFonts w:ascii="Arial" w:hAnsi="Arial" w:cs="Arial"/>
        </w:rPr>
      </w:pPr>
      <w:r>
        <w:rPr>
          <w:rFonts w:cs="Arial" w:ascii="Arial" w:hAnsi="Arial"/>
        </w:rPr>
        <w:t>Die Ersetzung der Zustimmung der sorgeberechtigten Eltern zum Antrag auf Änderung des Geschlechtseintrags einer/eines Minderjährigen ab 14 Jahren durch das Familiengericht ohne zwingende Einholung zweier jugendpsychiatrischer Gutachten schränkt das Elternrecht nach Art. 6 Abs. (2) Satz 1 GG unverhältnismäßig ein und verstößt gegen das Kindeswohl.</w:t>
      </w:r>
    </w:p>
    <w:p>
      <w:pPr>
        <w:pStyle w:val="ListParagraph"/>
        <w:numPr>
          <w:ilvl w:val="2"/>
          <w:numId w:val="2"/>
        </w:numPr>
        <w:jc w:val="both"/>
        <w:rPr>
          <w:rFonts w:ascii="Arial" w:hAnsi="Arial" w:cs="Arial"/>
        </w:rPr>
      </w:pPr>
      <w:r>
        <w:rPr>
          <w:rFonts w:cs="Arial" w:ascii="Arial" w:hAnsi="Arial"/>
        </w:rPr>
        <w:t>Die vom Geschlechtseintrag abhängige Bestimmung der „Vaterrolle“ in § 1592 Nr. 1 und 2 BGB verstößt gegen die rechtsstaatlichen Prinzipien der Normenwahrheit und Normenklarheit und gegen das Kindeswohl.</w:t>
        <w:br/>
      </w:r>
    </w:p>
    <w:p>
      <w:pPr>
        <w:pStyle w:val="ListParagraph"/>
        <w:numPr>
          <w:ilvl w:val="0"/>
          <w:numId w:val="2"/>
        </w:numPr>
        <w:jc w:val="both"/>
        <w:rPr>
          <w:rFonts w:ascii="Arial" w:hAnsi="Arial" w:cs="Arial"/>
          <w:b/>
          <w:b/>
          <w:bCs/>
        </w:rPr>
      </w:pPr>
      <w:r>
        <w:rPr>
          <w:rFonts w:cs="Arial" w:ascii="Arial" w:hAnsi="Arial"/>
          <w:b/>
          <w:bCs/>
        </w:rPr>
        <w:t>Sanktionsbewehrtes Offenbarungsverbot</w:t>
      </w:r>
    </w:p>
    <w:p>
      <w:pPr>
        <w:pStyle w:val="ListParagraph"/>
        <w:numPr>
          <w:ilvl w:val="1"/>
          <w:numId w:val="2"/>
        </w:numPr>
        <w:jc w:val="both"/>
        <w:rPr>
          <w:rFonts w:ascii="Arial" w:hAnsi="Arial" w:cs="Arial"/>
        </w:rPr>
      </w:pPr>
      <w:r>
        <w:rPr>
          <w:rFonts w:cs="Arial" w:ascii="Arial" w:hAnsi="Arial"/>
          <w:b/>
          <w:bCs/>
        </w:rPr>
        <w:t>Meinungs- und Pressefreiheit</w:t>
      </w:r>
      <w:r>
        <w:rPr>
          <w:rFonts w:cs="Arial" w:ascii="Arial" w:hAnsi="Arial"/>
        </w:rPr>
        <w:t xml:space="preserve"> </w:t>
      </w:r>
      <w:r>
        <w:rPr>
          <w:rFonts w:cs="Arial" w:ascii="Arial" w:hAnsi="Arial"/>
          <w:b/>
          <w:bCs/>
        </w:rPr>
        <w:t>(Art. 5 Abs. (1) Satz 1 und 2 GG)</w:t>
      </w:r>
      <w:r>
        <w:rPr>
          <w:rFonts w:cs="Arial" w:ascii="Arial" w:hAnsi="Arial"/>
        </w:rPr>
        <w:t xml:space="preserve"> werden unverhältnismäßig </w:t>
      </w:r>
      <w:r>
        <w:rPr>
          <w:rFonts w:cs="Arial" w:ascii="Arial" w:hAnsi="Arial"/>
          <w:b/>
          <w:bCs/>
        </w:rPr>
        <w:t>beschnitten</w:t>
      </w:r>
      <w:r>
        <w:rPr>
          <w:rFonts w:cs="Arial" w:ascii="Arial" w:hAnsi="Arial"/>
        </w:rPr>
        <w:t xml:space="preserve">. </w:t>
      </w:r>
    </w:p>
    <w:p>
      <w:pPr>
        <w:pStyle w:val="ListParagraph"/>
        <w:numPr>
          <w:ilvl w:val="1"/>
          <w:numId w:val="2"/>
        </w:numPr>
        <w:jc w:val="both"/>
        <w:rPr>
          <w:rFonts w:ascii="Arial" w:hAnsi="Arial" w:cs="Arial"/>
        </w:rPr>
      </w:pPr>
      <w:r>
        <w:rPr>
          <w:rFonts w:cs="Arial" w:ascii="Arial" w:hAnsi="Arial"/>
        </w:rPr>
        <w:t xml:space="preserve">Die </w:t>
      </w:r>
      <w:r>
        <w:rPr>
          <w:rFonts w:cs="Arial" w:ascii="Arial" w:hAnsi="Arial"/>
          <w:b/>
          <w:bCs/>
        </w:rPr>
        <w:t>Ausnahmen vom Offenbarungsverbot</w:t>
      </w:r>
      <w:r>
        <w:rPr>
          <w:rFonts w:cs="Arial" w:ascii="Arial" w:hAnsi="Arial"/>
        </w:rPr>
        <w:t xml:space="preserve"> sind im Einzelnen nicht immer nachvollziehbar und </w:t>
      </w:r>
      <w:r>
        <w:rPr>
          <w:rFonts w:cs="Arial" w:ascii="Arial" w:hAnsi="Arial"/>
          <w:b/>
          <w:bCs/>
        </w:rPr>
        <w:t xml:space="preserve">verstoßen </w:t>
      </w:r>
      <w:r>
        <w:rPr>
          <w:rFonts w:cs="Arial" w:ascii="Arial" w:hAnsi="Arial"/>
        </w:rPr>
        <w:t>gegen die</w:t>
      </w:r>
      <w:r>
        <w:rPr>
          <w:rFonts w:cs="Arial" w:ascii="Arial" w:hAnsi="Arial"/>
          <w:b/>
          <w:bCs/>
        </w:rPr>
        <w:t xml:space="preserve"> rechtsstaatlichen Prinzipien der Normenwahrheit und Normenklarheit</w:t>
      </w:r>
      <w:r>
        <w:rPr>
          <w:rFonts w:cs="Arial" w:ascii="Arial" w:hAnsi="Arial"/>
        </w:rPr>
        <w:t>.</w:t>
      </w:r>
    </w:p>
    <w:p>
      <w:pPr>
        <w:pStyle w:val="ListParagraph"/>
        <w:numPr>
          <w:ilvl w:val="1"/>
          <w:numId w:val="2"/>
        </w:numPr>
        <w:jc w:val="both"/>
        <w:rPr>
          <w:rFonts w:ascii="Arial" w:hAnsi="Arial" w:cs="Arial"/>
        </w:rPr>
      </w:pPr>
      <w:r>
        <w:rPr>
          <w:rFonts w:cs="Arial" w:ascii="Arial" w:hAnsi="Arial"/>
          <w:b/>
          <w:bCs/>
        </w:rPr>
        <w:t>Tatbestandliche Unklarheiten bei offenkundigem Augenschein</w:t>
      </w:r>
      <w:r>
        <w:rPr>
          <w:rFonts w:cs="Arial" w:ascii="Arial" w:hAnsi="Arial"/>
        </w:rPr>
        <w:t xml:space="preserve"> (Hausrecht, Meinungsäußerung) </w:t>
      </w:r>
      <w:r>
        <w:rPr>
          <w:rFonts w:cs="Arial" w:ascii="Arial" w:hAnsi="Arial"/>
          <w:b/>
          <w:bCs/>
        </w:rPr>
        <w:t xml:space="preserve">verstoßen </w:t>
      </w:r>
      <w:r>
        <w:rPr>
          <w:rFonts w:cs="Arial" w:ascii="Arial" w:hAnsi="Arial"/>
        </w:rPr>
        <w:t xml:space="preserve">gegen die </w:t>
      </w:r>
      <w:r>
        <w:rPr>
          <w:rFonts w:cs="Arial" w:ascii="Arial" w:hAnsi="Arial"/>
          <w:b/>
          <w:bCs/>
        </w:rPr>
        <w:t>rechtsstaatlichen Prinzipien der Normenwahrheit und Normenklarheit</w:t>
      </w:r>
      <w:r>
        <w:rPr>
          <w:rFonts w:cs="Arial" w:ascii="Arial" w:hAnsi="Arial"/>
        </w:rPr>
        <w:t xml:space="preserve"> und, da sie besonders zu Lasten der Frauen gehen, </w:t>
      </w:r>
      <w:r>
        <w:rPr>
          <w:rFonts w:cs="Arial" w:ascii="Arial" w:hAnsi="Arial"/>
          <w:b/>
          <w:bCs/>
        </w:rPr>
        <w:t>gegen Art. 3 Abs. (2), Abs. (3) und Art. 5 Abs. (1) GG</w:t>
      </w:r>
      <w:r>
        <w:rPr>
          <w:rFonts w:cs="Arial" w:ascii="Arial" w:hAnsi="Arial"/>
        </w:rPr>
        <w:t>.</w:t>
      </w:r>
    </w:p>
    <w:p>
      <w:pPr>
        <w:pStyle w:val="ListParagraph"/>
        <w:numPr>
          <w:ilvl w:val="1"/>
          <w:numId w:val="2"/>
        </w:numPr>
        <w:jc w:val="both"/>
        <w:rPr>
          <w:rFonts w:ascii="Arial" w:hAnsi="Arial" w:cs="Arial"/>
        </w:rPr>
      </w:pPr>
      <w:r>
        <w:rPr>
          <w:rFonts w:cs="Arial" w:ascii="Arial" w:hAnsi="Arial"/>
        </w:rPr>
        <w:t>Der „</w:t>
      </w:r>
      <w:r>
        <w:rPr>
          <w:rFonts w:cs="Arial" w:ascii="Arial" w:hAnsi="Arial"/>
          <w:b/>
          <w:bCs/>
        </w:rPr>
        <w:t>Chilling-Effekt</w:t>
      </w:r>
      <w:r>
        <w:rPr>
          <w:rFonts w:cs="Arial" w:ascii="Arial" w:hAnsi="Arial"/>
        </w:rPr>
        <w:t xml:space="preserve">“ (Abschreckungseffekt) der staatlichen Maßnahme einer </w:t>
      </w:r>
      <w:r>
        <w:rPr>
          <w:rFonts w:cs="Arial" w:ascii="Arial" w:hAnsi="Arial"/>
          <w:b/>
          <w:bCs/>
        </w:rPr>
        <w:t>hohen</w:t>
      </w:r>
      <w:r>
        <w:rPr>
          <w:rFonts w:cs="Arial" w:ascii="Arial" w:hAnsi="Arial"/>
        </w:rPr>
        <w:t xml:space="preserve"> </w:t>
      </w:r>
      <w:r>
        <w:rPr>
          <w:rFonts w:cs="Arial" w:ascii="Arial" w:hAnsi="Arial"/>
          <w:b/>
          <w:bCs/>
        </w:rPr>
        <w:t>Bußgeldbewehrung</w:t>
      </w:r>
      <w:r>
        <w:rPr>
          <w:rFonts w:cs="Arial" w:ascii="Arial" w:hAnsi="Arial"/>
        </w:rPr>
        <w:t xml:space="preserve"> führt zu Selbstzensur, Einschüchterung und zu konformistischem Verhalten. Diese ist mit Art. 5 Abs. (1) GG nicht vereinbar, weil sie einen </w:t>
      </w:r>
      <w:r>
        <w:rPr>
          <w:rFonts w:cs="Arial" w:ascii="Arial" w:hAnsi="Arial"/>
          <w:b/>
          <w:bCs/>
        </w:rPr>
        <w:t>Angriff auf die Demokratie</w:t>
      </w:r>
      <w:r>
        <w:rPr>
          <w:rFonts w:cs="Arial" w:ascii="Arial" w:hAnsi="Arial"/>
        </w:rPr>
        <w:t xml:space="preserve"> darstellt.</w:t>
      </w:r>
    </w:p>
    <w:p>
      <w:pPr>
        <w:pStyle w:val="ListParagraph"/>
        <w:numPr>
          <w:ilvl w:val="1"/>
          <w:numId w:val="2"/>
        </w:numPr>
        <w:jc w:val="both"/>
        <w:rPr>
          <w:rFonts w:ascii="Arial" w:hAnsi="Arial" w:cs="Arial"/>
        </w:rPr>
      </w:pPr>
      <w:r>
        <w:rPr>
          <w:rFonts w:cs="Arial" w:ascii="Arial" w:hAnsi="Arial"/>
        </w:rPr>
        <w:t xml:space="preserve">Der Abruf sowie der Austausch der nach dem Geschlechtseintragswechsel geänderten Daten zwischen Behörden und die Information namentlich genannter Sicherheitsbehörden waren als Ausnahme vom Offenbarungsverbot gedacht. Diese Regelung wurde durch den Änderungsantrag des Familienausschusses wieder </w:t>
      </w:r>
      <w:r>
        <w:rPr>
          <w:rFonts w:cs="Arial" w:ascii="Arial" w:hAnsi="Arial"/>
          <w:b/>
          <w:bCs/>
        </w:rPr>
        <w:t>gestrichen</w:t>
      </w:r>
      <w:r>
        <w:rPr>
          <w:rFonts w:cs="Arial" w:ascii="Arial" w:hAnsi="Arial"/>
        </w:rPr>
        <w:t xml:space="preserve">. </w:t>
      </w:r>
      <w:r>
        <w:rPr>
          <w:rFonts w:cs="Arial" w:ascii="Arial" w:hAnsi="Arial"/>
          <w:b/>
          <w:bCs/>
        </w:rPr>
        <w:t>Missbrauch durch Identitätsverschleierung</w:t>
      </w:r>
      <w:r>
        <w:rPr>
          <w:rFonts w:cs="Arial" w:ascii="Arial" w:hAnsi="Arial"/>
        </w:rPr>
        <w:t xml:space="preserve"> ist damit ohne weiteres möglich.</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Zur Vermeidung von </w:t>
      </w:r>
      <w:r>
        <w:rPr>
          <w:rFonts w:cs="Arial" w:ascii="Arial" w:hAnsi="Arial"/>
          <w:b/>
          <w:bCs/>
        </w:rPr>
        <w:t>Grundrechtskollisionen</w:t>
      </w:r>
      <w:r>
        <w:rPr>
          <w:rFonts w:cs="Arial" w:ascii="Arial" w:hAnsi="Arial"/>
        </w:rPr>
        <w:t xml:space="preserve"> von Rechten für Personen mit abweichender Geschlechtsidentität (Art. 2 Abs. (1) i.V.m. Art. 1 Abs. (1)) und denen von Frauen, Mädchen und Eltern (Art. 3 Abs. (2), (3) und Art. 6 Abs. (2) GG) ist der Gesetzgeber verpflichtet, nach dem Grundsatz der praktischen Konkordanz einen Ausgleich der widerstreitenden Grundrechte zu schaffen und die Austragung möglicher Konflikte nicht „dem freien Spiel der Kräfte“, d.h., den Rechtsverhältnissen der BürgerInnen untereinander - und letztendlich der Justiz - zu überlassen. </w:t>
      </w:r>
    </w:p>
    <w:p>
      <w:pPr>
        <w:pStyle w:val="Normal"/>
        <w:jc w:val="both"/>
        <w:rPr>
          <w:rFonts w:ascii="Arial" w:hAnsi="Arial" w:cs="Arial"/>
        </w:rPr>
      </w:pPr>
      <w:r>
        <w:rPr>
          <w:rFonts w:cs="Arial" w:ascii="Arial" w:hAnsi="Arial"/>
        </w:rPr>
        <w:t>Um Art. 3 Abs. (2) GG eine maximale Wirkung zu verschaffen, wäre es erforderlich, die Validität des Geschlechtseintrags zum Schutz von Frauen und Mädchen durch Beibehaltung des rechtsgestaltenden Verfahrens nach § 4 Abs. 3 TSG aufrechtzuerhalten und garantierte und angemessene Ausnahmeregelungen für Frauen zur Gewährleistung von autonomen und Schutzräumen, zur beruflichen Förderung und zur gesellschaftlichen Teilhabe zu schaffen.</w:t>
      </w:r>
    </w:p>
    <w:p>
      <w:pPr>
        <w:pStyle w:val="Normal"/>
        <w:jc w:val="both"/>
        <w:rPr>
          <w:rFonts w:ascii="Arial" w:hAnsi="Arial" w:cs="Arial"/>
        </w:rPr>
      </w:pPr>
      <w:r>
        <w:rPr>
          <w:rFonts w:cs="Arial" w:ascii="Arial" w:hAnsi="Arial"/>
        </w:rPr>
        <w:t>All das hat der Gesetzgeber unterlassen. Gesetzgeberisches Untätigbleiben verstößt zudem gegen das Rechtsstaatsprinzip und das Demokratiegebot.</w:t>
      </w:r>
    </w:p>
    <w:p>
      <w:pPr>
        <w:pStyle w:val="Normal"/>
        <w:jc w:val="both"/>
        <w:rPr>
          <w:rFonts w:ascii="Arial" w:hAnsi="Arial" w:cs="Arial"/>
        </w:rPr>
      </w:pPr>
      <w:r>
        <w:rPr>
          <w:rFonts w:cs="Arial" w:ascii="Arial" w:hAnsi="Arial"/>
        </w:rPr>
        <w:t>Aus diesen Gründen bitte ich Sie dringend, dieses verfassungswidrige Gesetz nicht zu unterzeichnen.</w:t>
      </w:r>
    </w:p>
    <w:p>
      <w:pPr>
        <w:pStyle w:val="Normal"/>
        <w:jc w:val="both"/>
        <w:rPr>
          <w:rFonts w:ascii="Arial" w:hAnsi="Arial" w:cs="Arial"/>
        </w:rPr>
      </w:pPr>
      <w:r>
        <w:rPr>
          <w:rFonts w:cs="Arial" w:ascii="Arial" w:hAnsi="Arial"/>
        </w:rPr>
        <w:t xml:space="preserve">Weitere Gründe für die Verfassungswidrigkeit sind in dem Rechtsgutachten von Rechtsanwältin Gunda Schumann, M.C.J., LL.M., erläutert, welches während der Verbändeanhörung auch auf der Website des BMFSFJ gelistet war. Sie können das Gutachten und Erläuterungen zum Gesetzentwurf der Bundesregierung vom 23.08.2023 sowie der aktuellen Änderungsvorschläge des Familienausschusses vom 10.04.2024 </w:t>
      </w:r>
      <w:hyperlink r:id="rId3">
        <w:r>
          <w:rPr>
            <w:rStyle w:val="Internetverknpfung"/>
          </w:rPr>
          <w:t xml:space="preserve">hier </w:t>
        </w:r>
        <w:r>
          <w:rPr>
            <w:rStyle w:val="Funotenanker"/>
            <w:rFonts w:cs="Arial" w:ascii="Arial" w:hAnsi="Arial"/>
          </w:rPr>
          <w:footnoteReference w:id="2"/>
        </w:r>
      </w:hyperlink>
      <w:r>
        <w:rPr>
          <w:rFonts w:cs="Arial" w:ascii="Arial" w:hAnsi="Arial"/>
        </w:rPr>
        <w:t xml:space="preserve">, </w:t>
      </w:r>
      <w:hyperlink r:id="rId4">
        <w:r>
          <w:rPr>
            <w:rStyle w:val="Internetverknpfung"/>
            <w:rFonts w:cs="Arial" w:ascii="Arial" w:hAnsi="Arial"/>
          </w:rPr>
          <w:t>bzw. hier</w:t>
        </w:r>
      </w:hyperlink>
      <w:r>
        <w:rPr>
          <w:rStyle w:val="Internetverknpfung"/>
          <w:rFonts w:cs="Arial" w:ascii="Arial" w:hAnsi="Arial"/>
        </w:rPr>
        <w:t xml:space="preserve"> </w:t>
      </w:r>
      <w:r>
        <w:rPr>
          <w:rStyle w:val="Funotenanker"/>
          <w:rFonts w:cs="Arial" w:ascii="Arial" w:hAnsi="Arial"/>
        </w:rPr>
        <w:footnoteReference w:id="3"/>
      </w:r>
      <w:r>
        <w:rPr>
          <w:rStyle w:val="Internetverknpfung"/>
          <w:rFonts w:cs="Arial" w:ascii="Arial" w:hAnsi="Arial"/>
        </w:rPr>
        <w:t xml:space="preserve"> </w:t>
      </w:r>
      <w:r>
        <w:rPr>
          <w:rStyle w:val="Internetverknpfung"/>
          <w:rFonts w:cs="Arial" w:ascii="Arial" w:hAnsi="Arial"/>
          <w:color w:val="auto"/>
          <w:u w:val="none"/>
        </w:rPr>
        <w:t>abrufen.</w:t>
      </w:r>
    </w:p>
    <w:p>
      <w:pPr>
        <w:pStyle w:val="Normal"/>
        <w:jc w:val="both"/>
        <w:rPr>
          <w:rFonts w:ascii="Arial" w:hAnsi="Arial" w:cs="Arial"/>
        </w:rPr>
      </w:pPr>
      <w:r>
        <w:rPr>
          <w:rFonts w:cs="Arial" w:ascii="Arial" w:hAnsi="Arial"/>
        </w:rPr>
        <w:t xml:space="preserve"> </w:t>
      </w:r>
    </w:p>
    <w:p>
      <w:pPr>
        <w:pStyle w:val="Normal"/>
        <w:jc w:val="both"/>
        <w:rPr>
          <w:rFonts w:ascii="Arial" w:hAnsi="Arial" w:cs="Arial"/>
        </w:rPr>
      </w:pPr>
      <w:r>
        <w:rPr>
          <w:rFonts w:cs="Arial" w:ascii="Arial" w:hAnsi="Arial"/>
        </w:rPr>
        <w:t>Hochachtungsvoll,</w:t>
      </w:r>
    </w:p>
    <w:p>
      <w:pPr>
        <w:pStyle w:val="Normal"/>
        <w:spacing w:before="0" w:after="160"/>
        <w:jc w:val="both"/>
        <w:rPr/>
      </w:pPr>
      <w:r>
        <w:rPr>
          <w:rFonts w:cs="Arial" w:ascii="Arial" w:hAnsi="Arial"/>
        </w:rPr>
        <w:t>[Vorname, Name]</w:t>
      </w:r>
    </w:p>
    <w:sectPr>
      <w:headerReference w:type="default" r:id="rId5"/>
      <w:footnotePr>
        <w:numFmt w:val="decimal"/>
      </w:footnotePr>
      <w:type w:val="nextPage"/>
      <w:pgSz w:w="11906" w:h="16838"/>
      <w:pgMar w:left="1417" w:right="1417" w:header="708" w:top="1417" w:footer="0"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unote"/>
        <w:rPr/>
      </w:pPr>
      <w:r>
        <w:rPr>
          <w:rStyle w:val="Funotenzeichen"/>
        </w:rPr>
        <w:footnoteRef/>
      </w:r>
      <w:r>
        <w:rPr>
          <w:color w:val="3366CC"/>
        </w:rPr>
        <w:t xml:space="preserve"> </w:t>
      </w:r>
      <w:hyperlink r:id="rId1">
        <w:r>
          <w:rPr>
            <w:rStyle w:val="Internetverknpfung"/>
            <w:color w:val="3366CC"/>
          </w:rPr>
          <w:t>https://www.bmfsfj.de/resource/blob/227180/c223f114874cb13b5ab5e96ee4baae82/laz-data.pdf</w:t>
        </w:r>
      </w:hyperlink>
    </w:p>
  </w:footnote>
  <w:footnote w:id="3">
    <w:p>
      <w:pPr>
        <w:pStyle w:val="Funote"/>
        <w:rPr/>
      </w:pPr>
      <w:r>
        <w:rPr>
          <w:rStyle w:val="Funotenzeichen"/>
        </w:rPr>
        <w:footnoteRef/>
      </w:r>
      <w:r>
        <w:rPr>
          <w:color w:val="3366CC"/>
        </w:rPr>
        <w:t xml:space="preserve">  </w:t>
      </w:r>
      <w:hyperlink r:id="rId2">
        <w:r>
          <w:rPr>
            <w:rStyle w:val="Internetverknpfung"/>
            <w:color w:val="3366CC"/>
          </w:rPr>
          <w:t>https://www.laz-reloaded.de/der-letzte-coup-verschaerfende-und-verschleiernde-aenderungen-des-</w:t>
        </w:r>
      </w:hyperlink>
      <w:r>
        <w:rPr>
          <w:color w:val="3366CC"/>
        </w:rPr>
        <w:t xml:space="preserve">     sbgg/</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946610801"/>
    </w:sdtPr>
    <w:sdtContent>
      <w:p>
        <w:pPr>
          <w:pStyle w:val="Kopfzeile"/>
          <w:jc w:val="right"/>
          <w:rPr/>
        </w:pPr>
        <w:r>
          <w:rPr/>
          <w:fldChar w:fldCharType="begin"/>
        </w:r>
        <w:r>
          <w:rPr/>
          <w:instrText> PAGE </w:instrText>
        </w:r>
        <w:r>
          <w:rPr/>
          <w:fldChar w:fldCharType="separate"/>
        </w:r>
        <w:r>
          <w:rPr/>
          <w:t>3</w:t>
        </w:r>
        <w:r>
          <w:rPr/>
          <w:fldChar w:fldCharType="end"/>
        </w:r>
      </w:p>
    </w:sdtContent>
  </w:sdt>
  <w:p>
    <w:pPr>
      <w:pStyle w:val="Kopfzeil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36"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2136" w:hanging="360"/>
      </w:pPr>
      <w:rPr>
        <w:rFonts w:ascii="Wingdings" w:hAnsi="Wingdings" w:cs="Wingdings" w:hint="default"/>
      </w:rPr>
    </w:lvl>
    <w:lvl w:ilvl="1">
      <w:start w:val="1"/>
      <w:numFmt w:val="bullet"/>
      <w:lvlText w:val="o"/>
      <w:lvlJc w:val="left"/>
      <w:pPr>
        <w:ind w:left="2856" w:hanging="360"/>
      </w:pPr>
      <w:rPr>
        <w:rFonts w:ascii="Courier New" w:hAnsi="Courier New" w:cs="Courier New" w:hint="default"/>
        <w:rFonts w:cs="Courier New"/>
      </w:rPr>
    </w:lvl>
    <w:lvl w:ilvl="2">
      <w:start w:val="1"/>
      <w:numFmt w:val="bullet"/>
      <w:lvlText w:val=""/>
      <w:lvlJc w:val="left"/>
      <w:pPr>
        <w:ind w:left="3576" w:hanging="360"/>
      </w:pPr>
      <w:rPr>
        <w:rFonts w:ascii="Wingdings" w:hAnsi="Wingdings" w:cs="Wingdings" w:hint="default"/>
      </w:rPr>
    </w:lvl>
    <w:lvl w:ilvl="3">
      <w:start w:val="1"/>
      <w:numFmt w:val="bullet"/>
      <w:lvlText w:val=""/>
      <w:lvlJc w:val="left"/>
      <w:pPr>
        <w:ind w:left="4296" w:hanging="360"/>
      </w:pPr>
      <w:rPr>
        <w:rFonts w:ascii="Symbol" w:hAnsi="Symbol" w:cs="Symbol" w:hint="default"/>
      </w:rPr>
    </w:lvl>
    <w:lvl w:ilvl="4">
      <w:start w:val="1"/>
      <w:numFmt w:val="bullet"/>
      <w:lvlText w:val="o"/>
      <w:lvlJc w:val="left"/>
      <w:pPr>
        <w:ind w:left="5016" w:hanging="360"/>
      </w:pPr>
      <w:rPr>
        <w:rFonts w:ascii="Courier New" w:hAnsi="Courier New" w:cs="Courier New" w:hint="default"/>
        <w:rFonts w:cs="Courier New"/>
      </w:rPr>
    </w:lvl>
    <w:lvl w:ilvl="5">
      <w:start w:val="1"/>
      <w:numFmt w:val="bullet"/>
      <w:lvlText w:val=""/>
      <w:lvlJc w:val="left"/>
      <w:pPr>
        <w:ind w:left="5736" w:hanging="360"/>
      </w:pPr>
      <w:rPr>
        <w:rFonts w:ascii="Wingdings" w:hAnsi="Wingdings" w:cs="Wingdings" w:hint="default"/>
      </w:rPr>
    </w:lvl>
    <w:lvl w:ilvl="6">
      <w:start w:val="1"/>
      <w:numFmt w:val="bullet"/>
      <w:lvlText w:val=""/>
      <w:lvlJc w:val="left"/>
      <w:pPr>
        <w:ind w:left="6456" w:hanging="360"/>
      </w:pPr>
      <w:rPr>
        <w:rFonts w:ascii="Symbol" w:hAnsi="Symbol" w:cs="Symbol" w:hint="default"/>
      </w:rPr>
    </w:lvl>
    <w:lvl w:ilvl="7">
      <w:start w:val="1"/>
      <w:numFmt w:val="bullet"/>
      <w:lvlText w:val="o"/>
      <w:lvlJc w:val="left"/>
      <w:pPr>
        <w:ind w:left="7176" w:hanging="360"/>
      </w:pPr>
      <w:rPr>
        <w:rFonts w:ascii="Courier New" w:hAnsi="Courier New" w:cs="Courier New" w:hint="default"/>
        <w:rFonts w:cs="Courier New"/>
      </w:rPr>
    </w:lvl>
    <w:lvl w:ilvl="8">
      <w:start w:val="1"/>
      <w:numFmt w:val="bullet"/>
      <w:lvlText w:val=""/>
      <w:lvlJc w:val="left"/>
      <w:pPr>
        <w:ind w:left="7896" w:hanging="360"/>
      </w:pPr>
      <w:rPr>
        <w:rFonts w:ascii="Wingdings" w:hAnsi="Wingdings" w:cs="Wingdings" w:hint="default"/>
      </w:rPr>
    </w:lvl>
  </w:abstractNum>
  <w:abstractNum w:abstractNumId="4">
    <w:lvl w:ilvl="0">
      <w:start w:val="1"/>
      <w:numFmt w:val="bullet"/>
      <w:lvlText w:val=""/>
      <w:lvlJc w:val="left"/>
      <w:pPr>
        <w:ind w:left="2136" w:hanging="360"/>
      </w:pPr>
      <w:rPr>
        <w:rFonts w:ascii="Wingdings" w:hAnsi="Wingdings" w:cs="Wingdings" w:hint="default"/>
      </w:rPr>
    </w:lvl>
    <w:lvl w:ilvl="1">
      <w:start w:val="1"/>
      <w:numFmt w:val="bullet"/>
      <w:lvlText w:val="o"/>
      <w:lvlJc w:val="left"/>
      <w:pPr>
        <w:ind w:left="2856" w:hanging="360"/>
      </w:pPr>
      <w:rPr>
        <w:rFonts w:ascii="Courier New" w:hAnsi="Courier New" w:cs="Courier New" w:hint="default"/>
        <w:rFonts w:cs="Courier New"/>
      </w:rPr>
    </w:lvl>
    <w:lvl w:ilvl="2">
      <w:start w:val="1"/>
      <w:numFmt w:val="bullet"/>
      <w:lvlText w:val=""/>
      <w:lvlJc w:val="left"/>
      <w:pPr>
        <w:ind w:left="3576" w:hanging="360"/>
      </w:pPr>
      <w:rPr>
        <w:rFonts w:ascii="Wingdings" w:hAnsi="Wingdings" w:cs="Wingdings" w:hint="default"/>
      </w:rPr>
    </w:lvl>
    <w:lvl w:ilvl="3">
      <w:start w:val="1"/>
      <w:numFmt w:val="bullet"/>
      <w:lvlText w:val=""/>
      <w:lvlJc w:val="left"/>
      <w:pPr>
        <w:ind w:left="4296" w:hanging="360"/>
      </w:pPr>
      <w:rPr>
        <w:rFonts w:ascii="Symbol" w:hAnsi="Symbol" w:cs="Symbol" w:hint="default"/>
      </w:rPr>
    </w:lvl>
    <w:lvl w:ilvl="4">
      <w:start w:val="1"/>
      <w:numFmt w:val="bullet"/>
      <w:lvlText w:val="o"/>
      <w:lvlJc w:val="left"/>
      <w:pPr>
        <w:ind w:left="5016" w:hanging="360"/>
      </w:pPr>
      <w:rPr>
        <w:rFonts w:ascii="Courier New" w:hAnsi="Courier New" w:cs="Courier New" w:hint="default"/>
        <w:rFonts w:cs="Courier New"/>
      </w:rPr>
    </w:lvl>
    <w:lvl w:ilvl="5">
      <w:start w:val="1"/>
      <w:numFmt w:val="bullet"/>
      <w:lvlText w:val=""/>
      <w:lvlJc w:val="left"/>
      <w:pPr>
        <w:ind w:left="5736" w:hanging="360"/>
      </w:pPr>
      <w:rPr>
        <w:rFonts w:ascii="Wingdings" w:hAnsi="Wingdings" w:cs="Wingdings" w:hint="default"/>
      </w:rPr>
    </w:lvl>
    <w:lvl w:ilvl="6">
      <w:start w:val="1"/>
      <w:numFmt w:val="bullet"/>
      <w:lvlText w:val=""/>
      <w:lvlJc w:val="left"/>
      <w:pPr>
        <w:ind w:left="6456" w:hanging="360"/>
      </w:pPr>
      <w:rPr>
        <w:rFonts w:ascii="Symbol" w:hAnsi="Symbol" w:cs="Symbol" w:hint="default"/>
      </w:rPr>
    </w:lvl>
    <w:lvl w:ilvl="7">
      <w:start w:val="1"/>
      <w:numFmt w:val="bullet"/>
      <w:lvlText w:val="o"/>
      <w:lvlJc w:val="left"/>
      <w:pPr>
        <w:ind w:left="7176" w:hanging="360"/>
      </w:pPr>
      <w:rPr>
        <w:rFonts w:ascii="Courier New" w:hAnsi="Courier New" w:cs="Courier New" w:hint="default"/>
        <w:rFonts w:cs="Courier New"/>
      </w:rPr>
    </w:lvl>
    <w:lvl w:ilvl="8">
      <w:start w:val="1"/>
      <w:numFmt w:val="bullet"/>
      <w:lvlText w:val=""/>
      <w:lvlJc w:val="left"/>
      <w:pPr>
        <w:ind w:left="7896"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de-DE"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de-DE" w:eastAsia="en-US" w:bidi="ar-SA"/>
      <w14:ligatures w14:val="standardContextual"/>
    </w:rPr>
  </w:style>
  <w:style w:type="paragraph" w:styleId="Berschrift1">
    <w:name w:val="Heading 1"/>
    <w:basedOn w:val="Normal"/>
    <w:next w:val="Normal"/>
    <w:link w:val="berschrift1Zchn"/>
    <w:uiPriority w:val="9"/>
    <w:qFormat/>
    <w:rsid w:val="00d25d58"/>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Berschrift2">
    <w:name w:val="Heading 2"/>
    <w:basedOn w:val="Normal"/>
    <w:next w:val="Normal"/>
    <w:link w:val="berschrift2Zchn"/>
    <w:uiPriority w:val="9"/>
    <w:semiHidden/>
    <w:unhideWhenUsed/>
    <w:qFormat/>
    <w:rsid w:val="00d25d58"/>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Berschrift3">
    <w:name w:val="Heading 3"/>
    <w:basedOn w:val="Normal"/>
    <w:next w:val="Normal"/>
    <w:link w:val="berschrift3Zchn"/>
    <w:uiPriority w:val="9"/>
    <w:semiHidden/>
    <w:unhideWhenUsed/>
    <w:qFormat/>
    <w:rsid w:val="00d25d58"/>
    <w:pPr>
      <w:keepNext w:val="true"/>
      <w:keepLines/>
      <w:spacing w:before="160" w:after="80"/>
      <w:outlineLvl w:val="2"/>
    </w:pPr>
    <w:rPr>
      <w:rFonts w:eastAsia="" w:cs="" w:cstheme="majorBidi" w:eastAsiaTheme="majorEastAsia"/>
      <w:color w:val="0F4761" w:themeColor="accent1" w:themeShade="bf"/>
      <w:sz w:val="28"/>
      <w:szCs w:val="28"/>
    </w:rPr>
  </w:style>
  <w:style w:type="paragraph" w:styleId="Berschrift4">
    <w:name w:val="Heading 4"/>
    <w:basedOn w:val="Normal"/>
    <w:next w:val="Normal"/>
    <w:link w:val="berschrift4Zchn"/>
    <w:uiPriority w:val="9"/>
    <w:semiHidden/>
    <w:unhideWhenUsed/>
    <w:qFormat/>
    <w:rsid w:val="00d25d58"/>
    <w:pPr>
      <w:keepNext w:val="true"/>
      <w:keepLines/>
      <w:spacing w:before="80" w:after="40"/>
      <w:outlineLvl w:val="3"/>
    </w:pPr>
    <w:rPr>
      <w:rFonts w:eastAsia="" w:cs="" w:cstheme="majorBidi" w:eastAsiaTheme="majorEastAsia"/>
      <w:i/>
      <w:iCs/>
      <w:color w:val="0F4761" w:themeColor="accent1" w:themeShade="bf"/>
    </w:rPr>
  </w:style>
  <w:style w:type="paragraph" w:styleId="Berschrift5">
    <w:name w:val="Heading 5"/>
    <w:basedOn w:val="Normal"/>
    <w:next w:val="Normal"/>
    <w:link w:val="berschrift5Zchn"/>
    <w:uiPriority w:val="9"/>
    <w:semiHidden/>
    <w:unhideWhenUsed/>
    <w:qFormat/>
    <w:rsid w:val="00d25d58"/>
    <w:pPr>
      <w:keepNext w:val="true"/>
      <w:keepLines/>
      <w:spacing w:before="80" w:after="40"/>
      <w:outlineLvl w:val="4"/>
    </w:pPr>
    <w:rPr>
      <w:rFonts w:eastAsia="" w:cs="" w:cstheme="majorBidi" w:eastAsiaTheme="majorEastAsia"/>
      <w:color w:val="0F4761" w:themeColor="accent1" w:themeShade="bf"/>
    </w:rPr>
  </w:style>
  <w:style w:type="paragraph" w:styleId="Berschrift6">
    <w:name w:val="Heading 6"/>
    <w:basedOn w:val="Normal"/>
    <w:next w:val="Normal"/>
    <w:link w:val="berschrift6Zchn"/>
    <w:uiPriority w:val="9"/>
    <w:semiHidden/>
    <w:unhideWhenUsed/>
    <w:qFormat/>
    <w:rsid w:val="00d25d58"/>
    <w:pPr>
      <w:keepNext w:val="true"/>
      <w:keepLines/>
      <w:spacing w:before="40" w:after="0"/>
      <w:outlineLvl w:val="5"/>
    </w:pPr>
    <w:rPr>
      <w:rFonts w:eastAsia="" w:cs="" w:cstheme="majorBidi" w:eastAsiaTheme="majorEastAsia"/>
      <w:i/>
      <w:iCs/>
      <w:color w:val="595959" w:themeColor="text1" w:themeTint="a6"/>
    </w:rPr>
  </w:style>
  <w:style w:type="paragraph" w:styleId="Berschrift7">
    <w:name w:val="Heading 7"/>
    <w:basedOn w:val="Normal"/>
    <w:next w:val="Normal"/>
    <w:link w:val="berschrift7Zchn"/>
    <w:uiPriority w:val="9"/>
    <w:semiHidden/>
    <w:unhideWhenUsed/>
    <w:qFormat/>
    <w:rsid w:val="00d25d58"/>
    <w:pPr>
      <w:keepNext w:val="true"/>
      <w:keepLines/>
      <w:spacing w:before="40" w:after="0"/>
      <w:outlineLvl w:val="6"/>
    </w:pPr>
    <w:rPr>
      <w:rFonts w:eastAsia="" w:cs="" w:cstheme="majorBidi" w:eastAsiaTheme="majorEastAsia"/>
      <w:color w:val="595959" w:themeColor="text1" w:themeTint="a6"/>
    </w:rPr>
  </w:style>
  <w:style w:type="paragraph" w:styleId="Berschrift8">
    <w:name w:val="Heading 8"/>
    <w:basedOn w:val="Normal"/>
    <w:next w:val="Normal"/>
    <w:link w:val="berschrift8Zchn"/>
    <w:uiPriority w:val="9"/>
    <w:semiHidden/>
    <w:unhideWhenUsed/>
    <w:qFormat/>
    <w:rsid w:val="00d25d58"/>
    <w:pPr>
      <w:keepNext w:val="true"/>
      <w:keepLines/>
      <w:spacing w:before="0" w:after="0"/>
      <w:outlineLvl w:val="7"/>
    </w:pPr>
    <w:rPr>
      <w:rFonts w:eastAsia="" w:cs="" w:cstheme="majorBidi" w:eastAsiaTheme="majorEastAsia"/>
      <w:i/>
      <w:iCs/>
      <w:color w:val="272727" w:themeColor="text1" w:themeTint="d8"/>
    </w:rPr>
  </w:style>
  <w:style w:type="paragraph" w:styleId="Berschrift9">
    <w:name w:val="Heading 9"/>
    <w:basedOn w:val="Normal"/>
    <w:next w:val="Normal"/>
    <w:link w:val="berschrift9Zchn"/>
    <w:uiPriority w:val="9"/>
    <w:semiHidden/>
    <w:unhideWhenUsed/>
    <w:qFormat/>
    <w:rsid w:val="00d25d58"/>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5d58"/>
    <w:rPr>
      <w:rFonts w:ascii="Aptos Display" w:hAnsi="Aptos Display" w:eastAsia="" w:cs="" w:asciiTheme="majorHAnsi" w:cstheme="majorBidi" w:eastAsiaTheme="majorEastAsia" w:hAnsiTheme="majorHAnsi"/>
      <w:color w:val="0F4761" w:themeColor="accent1" w:themeShade="bf"/>
      <w:sz w:val="40"/>
      <w:szCs w:val="40"/>
    </w:rPr>
  </w:style>
  <w:style w:type="character" w:styleId="Berschrift2Zchn" w:customStyle="1">
    <w:name w:val="Überschrift 2 Zchn"/>
    <w:basedOn w:val="DefaultParagraphFont"/>
    <w:link w:val="berschrift2"/>
    <w:uiPriority w:val="9"/>
    <w:semiHidden/>
    <w:qFormat/>
    <w:rsid w:val="00d25d58"/>
    <w:rPr>
      <w:rFonts w:ascii="Aptos Display" w:hAnsi="Aptos Display" w:eastAsia="" w:cs="" w:asciiTheme="majorHAnsi" w:cstheme="majorBidi" w:eastAsiaTheme="majorEastAsia" w:hAnsiTheme="majorHAnsi"/>
      <w:color w:val="0F4761" w:themeColor="accent1" w:themeShade="bf"/>
      <w:sz w:val="32"/>
      <w:szCs w:val="32"/>
    </w:rPr>
  </w:style>
  <w:style w:type="character" w:styleId="Berschrift3Zchn" w:customStyle="1">
    <w:name w:val="Überschrift 3 Zchn"/>
    <w:basedOn w:val="DefaultParagraphFont"/>
    <w:link w:val="berschrift3"/>
    <w:uiPriority w:val="9"/>
    <w:semiHidden/>
    <w:qFormat/>
    <w:rsid w:val="00d25d58"/>
    <w:rPr>
      <w:rFonts w:eastAsia="" w:cs="" w:cstheme="majorBidi" w:eastAsiaTheme="majorEastAsia"/>
      <w:color w:val="0F4761" w:themeColor="accent1" w:themeShade="bf"/>
      <w:sz w:val="28"/>
      <w:szCs w:val="28"/>
    </w:rPr>
  </w:style>
  <w:style w:type="character" w:styleId="Berschrift4Zchn" w:customStyle="1">
    <w:name w:val="Überschrift 4 Zchn"/>
    <w:basedOn w:val="DefaultParagraphFont"/>
    <w:link w:val="berschrift4"/>
    <w:uiPriority w:val="9"/>
    <w:semiHidden/>
    <w:qFormat/>
    <w:rsid w:val="00d25d58"/>
    <w:rPr>
      <w:rFonts w:eastAsia="" w:cs="" w:cstheme="majorBidi" w:eastAsiaTheme="majorEastAsia"/>
      <w:i/>
      <w:iCs/>
      <w:color w:val="0F4761" w:themeColor="accent1" w:themeShade="bf"/>
    </w:rPr>
  </w:style>
  <w:style w:type="character" w:styleId="Berschrift5Zchn" w:customStyle="1">
    <w:name w:val="Überschrift 5 Zchn"/>
    <w:basedOn w:val="DefaultParagraphFont"/>
    <w:link w:val="berschrift5"/>
    <w:uiPriority w:val="9"/>
    <w:semiHidden/>
    <w:qFormat/>
    <w:rsid w:val="00d25d58"/>
    <w:rPr>
      <w:rFonts w:eastAsia="" w:cs="" w:cstheme="majorBidi" w:eastAsiaTheme="majorEastAsia"/>
      <w:color w:val="0F4761" w:themeColor="accent1" w:themeShade="bf"/>
    </w:rPr>
  </w:style>
  <w:style w:type="character" w:styleId="Berschrift6Zchn" w:customStyle="1">
    <w:name w:val="Überschrift 6 Zchn"/>
    <w:basedOn w:val="DefaultParagraphFont"/>
    <w:link w:val="berschrift6"/>
    <w:uiPriority w:val="9"/>
    <w:semiHidden/>
    <w:qFormat/>
    <w:rsid w:val="00d25d58"/>
    <w:rPr>
      <w:rFonts w:eastAsia="" w:cs="" w:cstheme="majorBidi" w:eastAsiaTheme="majorEastAsia"/>
      <w:i/>
      <w:iCs/>
      <w:color w:val="595959" w:themeColor="text1" w:themeTint="a6"/>
    </w:rPr>
  </w:style>
  <w:style w:type="character" w:styleId="Berschrift7Zchn" w:customStyle="1">
    <w:name w:val="Überschrift 7 Zchn"/>
    <w:basedOn w:val="DefaultParagraphFont"/>
    <w:link w:val="berschrift7"/>
    <w:uiPriority w:val="9"/>
    <w:semiHidden/>
    <w:qFormat/>
    <w:rsid w:val="00d25d58"/>
    <w:rPr>
      <w:rFonts w:eastAsia="" w:cs="" w:cstheme="majorBidi" w:eastAsiaTheme="majorEastAsia"/>
      <w:color w:val="595959" w:themeColor="text1" w:themeTint="a6"/>
    </w:rPr>
  </w:style>
  <w:style w:type="character" w:styleId="Berschrift8Zchn" w:customStyle="1">
    <w:name w:val="Überschrift 8 Zchn"/>
    <w:basedOn w:val="DefaultParagraphFont"/>
    <w:link w:val="berschrift8"/>
    <w:uiPriority w:val="9"/>
    <w:semiHidden/>
    <w:qFormat/>
    <w:rsid w:val="00d25d58"/>
    <w:rPr>
      <w:rFonts w:eastAsia="" w:cs="" w:cstheme="majorBidi" w:eastAsiaTheme="majorEastAsia"/>
      <w:i/>
      <w:iCs/>
      <w:color w:val="272727" w:themeColor="text1" w:themeTint="d8"/>
    </w:rPr>
  </w:style>
  <w:style w:type="character" w:styleId="Berschrift9Zchn" w:customStyle="1">
    <w:name w:val="Überschrift 9 Zchn"/>
    <w:basedOn w:val="DefaultParagraphFont"/>
    <w:link w:val="berschrift9"/>
    <w:uiPriority w:val="9"/>
    <w:semiHidden/>
    <w:qFormat/>
    <w:rsid w:val="00d25d58"/>
    <w:rPr>
      <w:rFonts w:eastAsia="" w:cs="" w:cstheme="majorBidi" w:eastAsiaTheme="majorEastAsia"/>
      <w:color w:val="272727" w:themeColor="text1" w:themeTint="d8"/>
    </w:rPr>
  </w:style>
  <w:style w:type="character" w:styleId="TitelZchn" w:customStyle="1">
    <w:name w:val="Titel Zchn"/>
    <w:basedOn w:val="DefaultParagraphFont"/>
    <w:link w:val="Titel"/>
    <w:uiPriority w:val="10"/>
    <w:qFormat/>
    <w:rsid w:val="00d25d58"/>
    <w:rPr>
      <w:rFonts w:ascii="Aptos Display" w:hAnsi="Aptos Display" w:eastAsia="" w:cs="" w:asciiTheme="majorHAnsi" w:cstheme="majorBidi" w:eastAsiaTheme="majorEastAsia" w:hAnsiTheme="majorHAnsi"/>
      <w:spacing w:val="-10"/>
      <w:kern w:val="2"/>
      <w:sz w:val="56"/>
      <w:szCs w:val="56"/>
    </w:rPr>
  </w:style>
  <w:style w:type="character" w:styleId="UntertitelZchn" w:customStyle="1">
    <w:name w:val="Untertitel Zchn"/>
    <w:basedOn w:val="DefaultParagraphFont"/>
    <w:link w:val="Untertitel"/>
    <w:uiPriority w:val="11"/>
    <w:qFormat/>
    <w:rsid w:val="00d25d58"/>
    <w:rPr>
      <w:rFonts w:eastAsia="" w:cs="" w:cstheme="majorBidi" w:eastAsiaTheme="majorEastAsia"/>
      <w:color w:val="595959" w:themeColor="text1" w:themeTint="a6"/>
      <w:spacing w:val="15"/>
      <w:sz w:val="28"/>
      <w:szCs w:val="28"/>
    </w:rPr>
  </w:style>
  <w:style w:type="character" w:styleId="ZitatZchn" w:customStyle="1">
    <w:name w:val="Zitat Zchn"/>
    <w:basedOn w:val="DefaultParagraphFont"/>
    <w:link w:val="Zitat"/>
    <w:uiPriority w:val="29"/>
    <w:qFormat/>
    <w:rsid w:val="00d25d58"/>
    <w:rPr>
      <w:i/>
      <w:iCs/>
      <w:color w:val="404040" w:themeColor="text1" w:themeTint="bf"/>
    </w:rPr>
  </w:style>
  <w:style w:type="character" w:styleId="IntenseEmphasis">
    <w:name w:val="Intense Emphasis"/>
    <w:basedOn w:val="DefaultParagraphFont"/>
    <w:uiPriority w:val="21"/>
    <w:qFormat/>
    <w:rsid w:val="00d25d58"/>
    <w:rPr>
      <w:i/>
      <w:iCs/>
      <w:color w:val="0F4761" w:themeColor="accent1" w:themeShade="bf"/>
    </w:rPr>
  </w:style>
  <w:style w:type="character" w:styleId="IntensivesZitatZchn" w:customStyle="1">
    <w:name w:val="Intensives Zitat Zchn"/>
    <w:basedOn w:val="DefaultParagraphFont"/>
    <w:link w:val="IntensivesZitat"/>
    <w:uiPriority w:val="30"/>
    <w:qFormat/>
    <w:rsid w:val="00d25d58"/>
    <w:rPr>
      <w:i/>
      <w:iCs/>
      <w:color w:val="0F4761" w:themeColor="accent1" w:themeShade="bf"/>
    </w:rPr>
  </w:style>
  <w:style w:type="character" w:styleId="IntenseReference">
    <w:name w:val="Intense Reference"/>
    <w:basedOn w:val="DefaultParagraphFont"/>
    <w:uiPriority w:val="32"/>
    <w:qFormat/>
    <w:rsid w:val="00d25d58"/>
    <w:rPr>
      <w:b/>
      <w:bCs/>
      <w:smallCaps/>
      <w:color w:val="0F4761" w:themeColor="accent1" w:themeShade="bf"/>
      <w:spacing w:val="5"/>
    </w:rPr>
  </w:style>
  <w:style w:type="character" w:styleId="FunotentextZchn" w:customStyle="1">
    <w:name w:val="Fußnotentext Zchn"/>
    <w:basedOn w:val="DefaultParagraphFont"/>
    <w:link w:val="Funotentext"/>
    <w:uiPriority w:val="99"/>
    <w:semiHidden/>
    <w:qFormat/>
    <w:rsid w:val="0084509a"/>
    <w:rPr>
      <w:sz w:val="20"/>
      <w:szCs w:val="20"/>
    </w:rPr>
  </w:style>
  <w:style w:type="character" w:styleId="Funotenanker">
    <w:name w:val="Fußnotenanker"/>
    <w:rPr>
      <w:vertAlign w:val="superscript"/>
    </w:rPr>
  </w:style>
  <w:style w:type="character" w:styleId="FootnoteCharacters">
    <w:name w:val="Footnote Characters"/>
    <w:basedOn w:val="DefaultParagraphFont"/>
    <w:uiPriority w:val="99"/>
    <w:semiHidden/>
    <w:unhideWhenUsed/>
    <w:qFormat/>
    <w:rsid w:val="0084509a"/>
    <w:rPr>
      <w:vertAlign w:val="superscript"/>
    </w:rPr>
  </w:style>
  <w:style w:type="character" w:styleId="Internetverknpfung">
    <w:name w:val="Internetverknüpfung"/>
    <w:basedOn w:val="DefaultParagraphFont"/>
    <w:uiPriority w:val="99"/>
    <w:unhideWhenUsed/>
    <w:rsid w:val="00b20028"/>
    <w:rPr>
      <w:color w:val="467886" w:themeColor="hyperlink"/>
      <w:u w:val="single"/>
    </w:rPr>
  </w:style>
  <w:style w:type="character" w:styleId="UnresolvedMention">
    <w:name w:val="Unresolved Mention"/>
    <w:basedOn w:val="DefaultParagraphFont"/>
    <w:uiPriority w:val="99"/>
    <w:semiHidden/>
    <w:unhideWhenUsed/>
    <w:qFormat/>
    <w:rsid w:val="00b20028"/>
    <w:rPr>
      <w:color w:val="605E5C"/>
      <w:shd w:fill="E1DFDD" w:val="clear"/>
    </w:rPr>
  </w:style>
  <w:style w:type="character" w:styleId="FollowedHyperlink">
    <w:name w:val="FollowedHyperlink"/>
    <w:basedOn w:val="DefaultParagraphFont"/>
    <w:uiPriority w:val="99"/>
    <w:semiHidden/>
    <w:unhideWhenUsed/>
    <w:qFormat/>
    <w:rsid w:val="006f721c"/>
    <w:rPr>
      <w:color w:val="96607D" w:themeColor="followedHyperlink"/>
      <w:u w:val="single"/>
    </w:rPr>
  </w:style>
  <w:style w:type="character" w:styleId="KopfzeileZchn" w:customStyle="1">
    <w:name w:val="Kopfzeile Zchn"/>
    <w:basedOn w:val="DefaultParagraphFont"/>
    <w:link w:val="Kopfzeile"/>
    <w:uiPriority w:val="99"/>
    <w:qFormat/>
    <w:rsid w:val="006145cd"/>
    <w:rPr/>
  </w:style>
  <w:style w:type="character" w:styleId="FuzeileZchn" w:customStyle="1">
    <w:name w:val="Fußzeile Zchn"/>
    <w:basedOn w:val="DefaultParagraphFont"/>
    <w:link w:val="Fuzeile"/>
    <w:uiPriority w:val="99"/>
    <w:qFormat/>
    <w:rsid w:val="006145cd"/>
    <w:rPr/>
  </w:style>
  <w:style w:type="character" w:styleId="Funotenzeichen">
    <w:name w:val="Fußnotenzeichen"/>
    <w:qFormat/>
    <w:rPr/>
  </w:style>
  <w:style w:type="character" w:styleId="Endnotenanker">
    <w:name w:val="Endnotenanker"/>
    <w:rPr>
      <w:vertAlign w:val="superscript"/>
    </w:rPr>
  </w:style>
  <w:style w:type="character" w:styleId="Endnotenzeichen">
    <w:name w:val="Endnotenzeichen"/>
    <w:qFormat/>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Titel">
    <w:name w:val="Title"/>
    <w:basedOn w:val="Normal"/>
    <w:next w:val="Normal"/>
    <w:link w:val="TitelZchn"/>
    <w:uiPriority w:val="10"/>
    <w:qFormat/>
    <w:rsid w:val="00d25d58"/>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Untertitel">
    <w:name w:val="Subtitle"/>
    <w:basedOn w:val="Normal"/>
    <w:next w:val="Normal"/>
    <w:link w:val="UntertitelZchn"/>
    <w:uiPriority w:val="11"/>
    <w:qFormat/>
    <w:rsid w:val="00d25d58"/>
    <w:pPr/>
    <w:rPr>
      <w:rFonts w:eastAsia="" w:cs="" w:cstheme="majorBidi" w:eastAsiaTheme="majorEastAsia"/>
      <w:color w:val="595959" w:themeColor="text1" w:themeTint="a6"/>
      <w:spacing w:val="15"/>
      <w:sz w:val="28"/>
      <w:szCs w:val="28"/>
    </w:rPr>
  </w:style>
  <w:style w:type="paragraph" w:styleId="Quote">
    <w:name w:val="Quote"/>
    <w:basedOn w:val="Normal"/>
    <w:next w:val="Normal"/>
    <w:link w:val="ZitatZchn"/>
    <w:uiPriority w:val="29"/>
    <w:qFormat/>
    <w:rsid w:val="00d25d58"/>
    <w:pPr>
      <w:spacing w:before="160" w:after="160"/>
      <w:jc w:val="center"/>
    </w:pPr>
    <w:rPr>
      <w:i/>
      <w:iCs/>
      <w:color w:val="404040" w:themeColor="text1" w:themeTint="bf"/>
    </w:rPr>
  </w:style>
  <w:style w:type="paragraph" w:styleId="ListParagraph">
    <w:name w:val="List Paragraph"/>
    <w:basedOn w:val="Normal"/>
    <w:uiPriority w:val="34"/>
    <w:qFormat/>
    <w:rsid w:val="00d25d58"/>
    <w:pPr>
      <w:spacing w:before="0" w:after="160"/>
      <w:ind w:left="720" w:hanging="0"/>
      <w:contextualSpacing/>
    </w:pPr>
    <w:rPr/>
  </w:style>
  <w:style w:type="paragraph" w:styleId="IntenseQuote">
    <w:name w:val="Intense Quote"/>
    <w:basedOn w:val="Normal"/>
    <w:next w:val="Normal"/>
    <w:link w:val="IntensivesZitatZchn"/>
    <w:uiPriority w:val="30"/>
    <w:qFormat/>
    <w:rsid w:val="00d25d58"/>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Funote">
    <w:name w:val="Footnote Text"/>
    <w:basedOn w:val="Normal"/>
    <w:link w:val="FunotentextZchn"/>
    <w:uiPriority w:val="99"/>
    <w:semiHidden/>
    <w:unhideWhenUsed/>
    <w:rsid w:val="0084509a"/>
    <w:pPr>
      <w:spacing w:lineRule="auto" w:line="240" w:before="0" w:after="0"/>
    </w:pPr>
    <w:rPr>
      <w:sz w:val="20"/>
      <w:szCs w:val="20"/>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6145cd"/>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6145cd"/>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undespraesidialamt@bpra.bund.de" TargetMode="External"/><Relationship Id="rId3" Type="http://schemas.openxmlformats.org/officeDocument/2006/relationships/hyperlink" Target="https://www.bmfsfj.de/resource/blob/227180/c223f114874cb13b5ab5e96ee4baae82/laz-data.pdf" TargetMode="External"/><Relationship Id="rId4" Type="http://schemas.openxmlformats.org/officeDocument/2006/relationships/hyperlink" Target="https://www.laz-reloaded.de/der-letzte-coup-verschaerfende-und-verschleiernde-aenderungen-des-sbgg/" TargetMode="External"/><Relationship Id="rId5"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bmfsfj.de/resource/blob/227180/c223f114874cb13b5ab5e96ee4baae82/laz-data.pdf" TargetMode="External"/><Relationship Id="rId2" Type="http://schemas.openxmlformats.org/officeDocument/2006/relationships/hyperlink" Target="https://www.laz-reloaded.de/der-letzte-coup-verschaerfende-und-verschleiernde-aenderungen-des-"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AD0F-F268-4CCF-A98F-DA07BA11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LibreOffice/6.3.6.2$Windows_X86_64 LibreOffice_project/2196df99b074d8a661f4036fca8fa0cbfa33a497</Application>
  <Pages>2</Pages>
  <Words>800</Words>
  <Characters>5772</Characters>
  <CharactersWithSpaces>6546</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2024-04-29T09:34:00Z</dcterms:created>
  <dc:creator>Gunda Schumann</dc:creator>
  <dc:description/>
  <dc:language>de-DE</dc:language>
  <cp:lastModifiedBy>Gunda Schumann</cp:lastModifiedBy>
  <dcterms:modified xsi:type="dcterms:W3CDTF">2024-04-29T09:35:00Z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