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36FA6" w14:textId="6C4A4C80" w:rsidR="00B7009C" w:rsidRDefault="001243B8" w:rsidP="00B7009C">
      <w:pPr>
        <w:jc w:val="both"/>
        <w:rPr>
          <w:rFonts w:ascii="Arial" w:hAnsi="Arial" w:cs="Arial"/>
        </w:rPr>
      </w:pPr>
      <w:r w:rsidRPr="008B40F9">
        <w:rPr>
          <w:rFonts w:ascii="Arial" w:hAnsi="Arial" w:cs="Arial"/>
          <w:b/>
          <w:bCs/>
          <w:sz w:val="24"/>
          <w:szCs w:val="24"/>
        </w:rPr>
        <w:tab/>
      </w:r>
      <w:r w:rsidRPr="008B40F9">
        <w:rPr>
          <w:rFonts w:ascii="Arial" w:hAnsi="Arial" w:cs="Arial"/>
          <w:b/>
          <w:bCs/>
          <w:sz w:val="24"/>
          <w:szCs w:val="24"/>
        </w:rPr>
        <w:tab/>
      </w:r>
      <w:r w:rsidRPr="008B40F9">
        <w:rPr>
          <w:rFonts w:ascii="Arial" w:hAnsi="Arial" w:cs="Arial"/>
          <w:b/>
          <w:bCs/>
          <w:sz w:val="24"/>
          <w:szCs w:val="24"/>
        </w:rPr>
        <w:tab/>
      </w:r>
      <w:r w:rsidRPr="008B40F9">
        <w:rPr>
          <w:rFonts w:ascii="Arial" w:hAnsi="Arial" w:cs="Arial"/>
          <w:b/>
          <w:bCs/>
          <w:sz w:val="24"/>
          <w:szCs w:val="24"/>
        </w:rPr>
        <w:tab/>
      </w:r>
      <w:r w:rsidRPr="008B40F9">
        <w:rPr>
          <w:rFonts w:ascii="Arial" w:hAnsi="Arial" w:cs="Arial"/>
          <w:b/>
          <w:bCs/>
          <w:sz w:val="24"/>
          <w:szCs w:val="24"/>
        </w:rPr>
        <w:tab/>
      </w:r>
      <w:r w:rsidRPr="008B40F9">
        <w:rPr>
          <w:rFonts w:ascii="Arial" w:hAnsi="Arial" w:cs="Arial"/>
          <w:b/>
          <w:bCs/>
          <w:sz w:val="24"/>
          <w:szCs w:val="24"/>
        </w:rPr>
        <w:tab/>
      </w:r>
      <w:r w:rsidR="00B7009C">
        <w:rPr>
          <w:rFonts w:ascii="Arial" w:hAnsi="Arial" w:cs="Arial"/>
          <w:b/>
          <w:bCs/>
          <w:sz w:val="24"/>
          <w:szCs w:val="24"/>
        </w:rPr>
        <w:tab/>
      </w:r>
      <w:r w:rsidR="00B7009C">
        <w:rPr>
          <w:rFonts w:ascii="Arial" w:hAnsi="Arial" w:cs="Arial"/>
        </w:rPr>
        <w:t>Absenderin</w:t>
      </w:r>
    </w:p>
    <w:p w14:paraId="538F1862" w14:textId="3FE0D53B" w:rsidR="00B7009C" w:rsidRDefault="00B7009C" w:rsidP="00B7009C">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[Vorname, Name, Anschrift, Mailadresse]</w:t>
      </w:r>
    </w:p>
    <w:p w14:paraId="107D633D" w14:textId="33A759B8" w:rsidR="00DE1842" w:rsidRPr="008B40F9" w:rsidRDefault="001243B8">
      <w:pPr>
        <w:rPr>
          <w:rFonts w:ascii="Arial" w:hAnsi="Arial" w:cs="Arial"/>
          <w:b/>
          <w:bCs/>
          <w:sz w:val="24"/>
          <w:szCs w:val="24"/>
        </w:rPr>
      </w:pPr>
      <w:r w:rsidRPr="008B40F9">
        <w:rPr>
          <w:rFonts w:ascii="Arial" w:hAnsi="Arial" w:cs="Arial"/>
          <w:b/>
          <w:bCs/>
          <w:sz w:val="24"/>
          <w:szCs w:val="24"/>
        </w:rPr>
        <w:tab/>
      </w:r>
      <w:r w:rsidRPr="008B40F9">
        <w:rPr>
          <w:rFonts w:ascii="Arial" w:hAnsi="Arial" w:cs="Arial"/>
          <w:b/>
          <w:bCs/>
          <w:sz w:val="24"/>
          <w:szCs w:val="24"/>
        </w:rPr>
        <w:tab/>
      </w:r>
      <w:r w:rsidRPr="008B40F9">
        <w:rPr>
          <w:rFonts w:ascii="Arial" w:hAnsi="Arial" w:cs="Arial"/>
          <w:b/>
          <w:bCs/>
          <w:sz w:val="24"/>
          <w:szCs w:val="24"/>
        </w:rPr>
        <w:tab/>
      </w:r>
      <w:r w:rsidRPr="008B40F9">
        <w:rPr>
          <w:rFonts w:ascii="Arial" w:hAnsi="Arial" w:cs="Arial"/>
          <w:b/>
          <w:bCs/>
          <w:sz w:val="24"/>
          <w:szCs w:val="24"/>
        </w:rPr>
        <w:tab/>
      </w:r>
    </w:p>
    <w:p w14:paraId="09D64419" w14:textId="23E09878" w:rsidR="00323D12" w:rsidRPr="008B40F9" w:rsidRDefault="00323D12" w:rsidP="00323D12">
      <w:pPr>
        <w:rPr>
          <w:rFonts w:ascii="Arial" w:hAnsi="Arial" w:cs="Arial"/>
        </w:rPr>
      </w:pPr>
      <w:r w:rsidRPr="008B40F9">
        <w:rPr>
          <w:rFonts w:ascii="Arial" w:hAnsi="Arial" w:cs="Arial"/>
        </w:rPr>
        <w:t>Herrn</w:t>
      </w:r>
      <w:r w:rsidRPr="008B40F9">
        <w:rPr>
          <w:rFonts w:ascii="Arial" w:hAnsi="Arial" w:cs="Arial"/>
        </w:rPr>
        <w:tab/>
      </w:r>
      <w:r w:rsidRPr="008B40F9">
        <w:rPr>
          <w:rFonts w:ascii="Arial" w:hAnsi="Arial" w:cs="Arial"/>
        </w:rPr>
        <w:tab/>
      </w:r>
      <w:r w:rsidRPr="008B40F9">
        <w:rPr>
          <w:rFonts w:ascii="Arial" w:hAnsi="Arial" w:cs="Arial"/>
        </w:rPr>
        <w:tab/>
      </w:r>
      <w:r w:rsidRPr="008B40F9">
        <w:rPr>
          <w:rFonts w:ascii="Arial" w:hAnsi="Arial" w:cs="Arial"/>
        </w:rPr>
        <w:tab/>
      </w:r>
      <w:r w:rsidRPr="008B40F9">
        <w:rPr>
          <w:rFonts w:ascii="Arial" w:hAnsi="Arial" w:cs="Arial"/>
        </w:rPr>
        <w:tab/>
      </w:r>
      <w:r w:rsidRPr="008B40F9">
        <w:rPr>
          <w:rFonts w:ascii="Arial" w:hAnsi="Arial" w:cs="Arial"/>
        </w:rPr>
        <w:tab/>
      </w:r>
      <w:r w:rsidRPr="008B40F9">
        <w:rPr>
          <w:rFonts w:ascii="Arial" w:hAnsi="Arial" w:cs="Arial"/>
        </w:rPr>
        <w:tab/>
      </w:r>
      <w:proofErr w:type="spellStart"/>
      <w:r w:rsidRPr="008B40F9">
        <w:rPr>
          <w:rFonts w:ascii="Arial" w:hAnsi="Arial" w:cs="Arial"/>
        </w:rPr>
        <w:t>Herrn</w:t>
      </w:r>
      <w:proofErr w:type="spellEnd"/>
      <w:r w:rsidRPr="008B40F9">
        <w:rPr>
          <w:rFonts w:ascii="Arial" w:hAnsi="Arial" w:cs="Arial"/>
        </w:rPr>
        <w:br/>
        <w:t>Friedrich Merz</w:t>
      </w:r>
      <w:r w:rsidR="008F74DA" w:rsidRPr="008B40F9">
        <w:rPr>
          <w:rFonts w:ascii="Arial" w:hAnsi="Arial" w:cs="Arial"/>
        </w:rPr>
        <w:t>, CDU</w:t>
      </w:r>
      <w:r w:rsidRPr="008B40F9">
        <w:rPr>
          <w:rFonts w:ascii="Arial" w:hAnsi="Arial" w:cs="Arial"/>
        </w:rPr>
        <w:t xml:space="preserve"> MdB</w:t>
      </w:r>
      <w:r w:rsidRPr="008B40F9">
        <w:rPr>
          <w:rFonts w:ascii="Arial" w:hAnsi="Arial" w:cs="Arial"/>
        </w:rPr>
        <w:tab/>
      </w:r>
      <w:r w:rsidRPr="008B40F9">
        <w:rPr>
          <w:rFonts w:ascii="Arial" w:hAnsi="Arial" w:cs="Arial"/>
        </w:rPr>
        <w:tab/>
      </w:r>
      <w:r w:rsidRPr="008B40F9">
        <w:rPr>
          <w:rFonts w:ascii="Arial" w:hAnsi="Arial" w:cs="Arial"/>
        </w:rPr>
        <w:tab/>
      </w:r>
      <w:r w:rsidRPr="008B40F9">
        <w:rPr>
          <w:rFonts w:ascii="Arial" w:hAnsi="Arial" w:cs="Arial"/>
        </w:rPr>
        <w:tab/>
        <w:t>Alexander Dobrindt</w:t>
      </w:r>
      <w:r w:rsidR="008F74DA" w:rsidRPr="008B40F9">
        <w:rPr>
          <w:rFonts w:ascii="Arial" w:hAnsi="Arial" w:cs="Arial"/>
        </w:rPr>
        <w:t>, CSU</w:t>
      </w:r>
      <w:r w:rsidRPr="008B40F9">
        <w:rPr>
          <w:rFonts w:ascii="Arial" w:hAnsi="Arial" w:cs="Arial"/>
        </w:rPr>
        <w:t xml:space="preserve"> MdB</w:t>
      </w:r>
      <w:r w:rsidRPr="008B40F9">
        <w:rPr>
          <w:rFonts w:ascii="Arial" w:hAnsi="Arial" w:cs="Arial"/>
        </w:rPr>
        <w:br/>
        <w:t>Platz der Republik 1</w:t>
      </w:r>
      <w:r w:rsidRPr="008B40F9">
        <w:rPr>
          <w:rFonts w:ascii="Arial" w:hAnsi="Arial" w:cs="Arial"/>
        </w:rPr>
        <w:tab/>
      </w:r>
      <w:r w:rsidRPr="008B40F9">
        <w:rPr>
          <w:rFonts w:ascii="Arial" w:hAnsi="Arial" w:cs="Arial"/>
        </w:rPr>
        <w:tab/>
      </w:r>
      <w:r w:rsidRPr="008B40F9">
        <w:rPr>
          <w:rFonts w:ascii="Arial" w:hAnsi="Arial" w:cs="Arial"/>
        </w:rPr>
        <w:tab/>
      </w:r>
      <w:r w:rsidRPr="008B40F9">
        <w:rPr>
          <w:rFonts w:ascii="Arial" w:hAnsi="Arial" w:cs="Arial"/>
        </w:rPr>
        <w:tab/>
      </w:r>
      <w:r w:rsidRPr="008B40F9">
        <w:rPr>
          <w:rFonts w:ascii="Arial" w:hAnsi="Arial" w:cs="Arial"/>
        </w:rPr>
        <w:tab/>
        <w:t>Platz der Republik 1</w:t>
      </w:r>
      <w:r w:rsidRPr="008B40F9">
        <w:rPr>
          <w:rFonts w:ascii="Arial" w:hAnsi="Arial" w:cs="Arial"/>
        </w:rPr>
        <w:br/>
        <w:t>11011 Berlin</w:t>
      </w:r>
      <w:r w:rsidRPr="008B40F9">
        <w:rPr>
          <w:rFonts w:ascii="Arial" w:hAnsi="Arial" w:cs="Arial"/>
        </w:rPr>
        <w:tab/>
      </w:r>
      <w:r w:rsidRPr="008B40F9">
        <w:rPr>
          <w:rFonts w:ascii="Arial" w:hAnsi="Arial" w:cs="Arial"/>
        </w:rPr>
        <w:tab/>
      </w:r>
      <w:r w:rsidRPr="008B40F9">
        <w:rPr>
          <w:rFonts w:ascii="Arial" w:hAnsi="Arial" w:cs="Arial"/>
        </w:rPr>
        <w:tab/>
      </w:r>
      <w:r w:rsidRPr="008B40F9">
        <w:rPr>
          <w:rFonts w:ascii="Arial" w:hAnsi="Arial" w:cs="Arial"/>
        </w:rPr>
        <w:tab/>
      </w:r>
      <w:r w:rsidRPr="008B40F9">
        <w:rPr>
          <w:rFonts w:ascii="Arial" w:hAnsi="Arial" w:cs="Arial"/>
        </w:rPr>
        <w:tab/>
      </w:r>
      <w:r w:rsidRPr="008B40F9">
        <w:rPr>
          <w:rFonts w:ascii="Arial" w:hAnsi="Arial" w:cs="Arial"/>
        </w:rPr>
        <w:tab/>
        <w:t>11011 Berlin</w:t>
      </w:r>
      <w:r w:rsidRPr="008B40F9">
        <w:rPr>
          <w:rFonts w:ascii="Arial" w:hAnsi="Arial" w:cs="Arial"/>
        </w:rPr>
        <w:br/>
      </w:r>
      <w:hyperlink r:id="rId8" w:history="1">
        <w:r w:rsidRPr="008B40F9">
          <w:rPr>
            <w:rStyle w:val="Hyperlink"/>
            <w:rFonts w:ascii="Arial" w:hAnsi="Arial" w:cs="Arial"/>
            <w:color w:val="auto"/>
          </w:rPr>
          <w:t>friedrich.merz@bundestag.de</w:t>
        </w:r>
      </w:hyperlink>
      <w:r w:rsidRPr="008B40F9">
        <w:rPr>
          <w:rFonts w:ascii="Arial" w:hAnsi="Arial" w:cs="Arial"/>
        </w:rPr>
        <w:t xml:space="preserve"> </w:t>
      </w:r>
      <w:r w:rsidRPr="008B40F9">
        <w:rPr>
          <w:rFonts w:ascii="Arial" w:hAnsi="Arial" w:cs="Arial"/>
        </w:rPr>
        <w:tab/>
      </w:r>
      <w:r w:rsidRPr="008B40F9">
        <w:rPr>
          <w:rFonts w:ascii="Arial" w:hAnsi="Arial" w:cs="Arial"/>
        </w:rPr>
        <w:tab/>
      </w:r>
      <w:r w:rsidRPr="008B40F9">
        <w:rPr>
          <w:rFonts w:ascii="Arial" w:hAnsi="Arial" w:cs="Arial"/>
        </w:rPr>
        <w:tab/>
      </w:r>
      <w:hyperlink r:id="rId9" w:history="1">
        <w:r w:rsidRPr="008B40F9">
          <w:rPr>
            <w:rStyle w:val="Hyperlink"/>
            <w:rFonts w:ascii="Arial" w:hAnsi="Arial" w:cs="Arial"/>
            <w:color w:val="auto"/>
          </w:rPr>
          <w:t>alexander.dobrindt@bundestag.de</w:t>
        </w:r>
      </w:hyperlink>
      <w:r w:rsidRPr="008B40F9">
        <w:rPr>
          <w:rFonts w:ascii="Arial" w:hAnsi="Arial" w:cs="Arial"/>
        </w:rPr>
        <w:t xml:space="preserve"> </w:t>
      </w:r>
    </w:p>
    <w:p w14:paraId="29AC2BFC" w14:textId="77777777" w:rsidR="008F74DA" w:rsidRPr="008B40F9" w:rsidRDefault="008F74DA">
      <w:pPr>
        <w:rPr>
          <w:rFonts w:ascii="Arial" w:hAnsi="Arial" w:cs="Arial"/>
        </w:rPr>
      </w:pPr>
    </w:p>
    <w:p w14:paraId="43DB48BB" w14:textId="41A21F80" w:rsidR="008F74DA" w:rsidRPr="008B40F9" w:rsidRDefault="008F74DA">
      <w:pPr>
        <w:rPr>
          <w:rFonts w:ascii="Arial" w:hAnsi="Arial" w:cs="Arial"/>
        </w:rPr>
      </w:pPr>
      <w:r w:rsidRPr="008B40F9">
        <w:rPr>
          <w:rFonts w:ascii="Arial" w:hAnsi="Arial" w:cs="Arial"/>
          <w:b/>
          <w:bCs/>
        </w:rPr>
        <w:t>Abschaffung des Selbstbestimmungsgesetzes der Ampel-Regierung</w:t>
      </w:r>
      <w:r w:rsidRPr="008B40F9">
        <w:rPr>
          <w:rFonts w:ascii="Arial" w:hAnsi="Arial" w:cs="Arial"/>
          <w:b/>
          <w:bCs/>
        </w:rPr>
        <w:br/>
      </w:r>
      <w:r w:rsidR="00E626E5">
        <w:rPr>
          <w:rFonts w:ascii="Arial" w:hAnsi="Arial" w:cs="Arial"/>
        </w:rPr>
        <w:t>Ort</w:t>
      </w:r>
      <w:r w:rsidRPr="008B40F9">
        <w:rPr>
          <w:rFonts w:ascii="Arial" w:hAnsi="Arial" w:cs="Arial"/>
        </w:rPr>
        <w:t>, den</w:t>
      </w:r>
      <w:r w:rsidR="003057A8">
        <w:rPr>
          <w:rFonts w:ascii="Arial" w:hAnsi="Arial" w:cs="Arial"/>
        </w:rPr>
        <w:t xml:space="preserve"> </w:t>
      </w:r>
      <w:r w:rsidR="006814EB">
        <w:rPr>
          <w:rFonts w:ascii="Arial" w:hAnsi="Arial" w:cs="Arial"/>
        </w:rPr>
        <w:t>..</w:t>
      </w:r>
      <w:r w:rsidR="003057A8">
        <w:rPr>
          <w:rFonts w:ascii="Arial" w:hAnsi="Arial" w:cs="Arial"/>
        </w:rPr>
        <w:t>.</w:t>
      </w:r>
      <w:r w:rsidRPr="008B40F9">
        <w:rPr>
          <w:rFonts w:ascii="Arial" w:hAnsi="Arial" w:cs="Arial"/>
        </w:rPr>
        <w:t xml:space="preserve"> 2025</w:t>
      </w:r>
    </w:p>
    <w:p w14:paraId="4323A890" w14:textId="54706F47" w:rsidR="00323D12" w:rsidRPr="008B40F9" w:rsidRDefault="00323D12">
      <w:pPr>
        <w:rPr>
          <w:rFonts w:ascii="Arial" w:hAnsi="Arial" w:cs="Arial"/>
        </w:rPr>
      </w:pPr>
      <w:r w:rsidRPr="008B40F9">
        <w:rPr>
          <w:rFonts w:ascii="Arial" w:hAnsi="Arial" w:cs="Arial"/>
        </w:rPr>
        <w:t xml:space="preserve"> </w:t>
      </w:r>
    </w:p>
    <w:p w14:paraId="3183D636" w14:textId="4DB75CBF" w:rsidR="00323D12" w:rsidRPr="008B40F9" w:rsidRDefault="008F74DA">
      <w:pPr>
        <w:rPr>
          <w:rFonts w:ascii="Arial" w:hAnsi="Arial" w:cs="Arial"/>
        </w:rPr>
      </w:pPr>
      <w:r w:rsidRPr="008B40F9">
        <w:rPr>
          <w:rFonts w:ascii="Arial" w:hAnsi="Arial" w:cs="Arial"/>
        </w:rPr>
        <w:t>Sehr geehrter Herr Merz, sehr geehrter Herr Dobrindt,</w:t>
      </w:r>
    </w:p>
    <w:p w14:paraId="5993CF85" w14:textId="77777777" w:rsidR="00E3779C" w:rsidRPr="008B40F9" w:rsidRDefault="008F74DA">
      <w:pPr>
        <w:rPr>
          <w:rFonts w:ascii="Arial" w:hAnsi="Arial" w:cs="Arial"/>
        </w:rPr>
      </w:pPr>
      <w:r w:rsidRPr="008B40F9">
        <w:rPr>
          <w:rFonts w:ascii="Arial" w:hAnsi="Arial" w:cs="Arial"/>
        </w:rPr>
        <w:t xml:space="preserve">mit Interesse haben wir das Wahlprogramm von CDU und CSU gelesen. </w:t>
      </w:r>
      <w:r w:rsidR="00900975" w:rsidRPr="008B40F9">
        <w:rPr>
          <w:rFonts w:ascii="Arial" w:hAnsi="Arial" w:cs="Arial"/>
        </w:rPr>
        <w:br/>
      </w:r>
      <w:r w:rsidR="00E3779C" w:rsidRPr="008B40F9">
        <w:rPr>
          <w:rFonts w:ascii="Arial" w:hAnsi="Arial" w:cs="Arial"/>
        </w:rPr>
        <w:br/>
      </w:r>
      <w:r w:rsidR="00900975" w:rsidRPr="008B40F9">
        <w:rPr>
          <w:rFonts w:ascii="Arial" w:hAnsi="Arial" w:cs="Arial"/>
        </w:rPr>
        <w:t>Neben wichtigen wirtschafts- und sicherheitspolitischen Themen haben Sie unter der Rubrik „</w:t>
      </w:r>
      <w:r w:rsidR="00900975" w:rsidRPr="008B40F9">
        <w:rPr>
          <w:rFonts w:ascii="Arial" w:hAnsi="Arial" w:cs="Arial"/>
          <w:b/>
          <w:bCs/>
        </w:rPr>
        <w:t>Ja zu Familie und Verantwortung</w:t>
      </w:r>
      <w:r w:rsidR="00900975" w:rsidRPr="008B40F9">
        <w:rPr>
          <w:rFonts w:ascii="Arial" w:hAnsi="Arial" w:cs="Arial"/>
        </w:rPr>
        <w:t>“ die Absicht der Union geäußert, das Selbstbestimmungsgesetz der Ampel wieder abzuschaffen.</w:t>
      </w:r>
    </w:p>
    <w:p w14:paraId="3A5FC4AC" w14:textId="7E1A7F55" w:rsidR="00900975" w:rsidRPr="008B40F9" w:rsidRDefault="00900975">
      <w:pPr>
        <w:rPr>
          <w:rFonts w:ascii="Arial" w:hAnsi="Arial" w:cs="Arial"/>
        </w:rPr>
      </w:pPr>
      <w:r w:rsidRPr="008B40F9">
        <w:rPr>
          <w:rFonts w:ascii="Arial" w:hAnsi="Arial" w:cs="Arial"/>
        </w:rPr>
        <w:t>Als Begründung führen Sie aus, der Jugendschutz und das Erziehungsrecht der Eltern</w:t>
      </w:r>
      <w:r w:rsidR="00A32634" w:rsidRPr="008B40F9">
        <w:rPr>
          <w:rFonts w:ascii="Arial" w:hAnsi="Arial" w:cs="Arial"/>
        </w:rPr>
        <w:t>, welche bisher durch Gutachten und gerichtliche Entscheidungen gewährleistet worden seien,</w:t>
      </w:r>
      <w:r w:rsidRPr="008B40F9">
        <w:rPr>
          <w:rFonts w:ascii="Arial" w:hAnsi="Arial" w:cs="Arial"/>
        </w:rPr>
        <w:t xml:space="preserve"> dürften nicht </w:t>
      </w:r>
      <w:r w:rsidR="00A32634" w:rsidRPr="008B40F9">
        <w:rPr>
          <w:rFonts w:ascii="Arial" w:hAnsi="Arial" w:cs="Arial"/>
        </w:rPr>
        <w:t xml:space="preserve">durch eine beliebige Identitätspolitik </w:t>
      </w:r>
      <w:r w:rsidRPr="008B40F9">
        <w:rPr>
          <w:rFonts w:ascii="Arial" w:hAnsi="Arial" w:cs="Arial"/>
        </w:rPr>
        <w:t>untergraben werden</w:t>
      </w:r>
      <w:r w:rsidR="00A32634" w:rsidRPr="008B40F9">
        <w:rPr>
          <w:rFonts w:ascii="Arial" w:hAnsi="Arial" w:cs="Arial"/>
        </w:rPr>
        <w:t>. Überdies sprechen Sie sich gegen einen leichtfertigen Geschlechtswechsel bei Erwachsenen aus. Während Sie operative Eingriffe zur Geschlechtsangleichung bei Minderjährigen grundsätzlich ab</w:t>
      </w:r>
      <w:r w:rsidR="00E3779C" w:rsidRPr="008B40F9">
        <w:rPr>
          <w:rFonts w:ascii="Arial" w:hAnsi="Arial" w:cs="Arial"/>
        </w:rPr>
        <w:t>l</w:t>
      </w:r>
      <w:r w:rsidR="00A32634" w:rsidRPr="008B40F9">
        <w:rPr>
          <w:rFonts w:ascii="Arial" w:hAnsi="Arial" w:cs="Arial"/>
        </w:rPr>
        <w:t>ehnen, fordern Sie bei Erwachsenen</w:t>
      </w:r>
      <w:r w:rsidR="00E3779C" w:rsidRPr="008B40F9">
        <w:rPr>
          <w:rFonts w:ascii="Arial" w:hAnsi="Arial" w:cs="Arial"/>
        </w:rPr>
        <w:t xml:space="preserve"> eine ausführliche unabhängige Zweitberatung.</w:t>
      </w:r>
    </w:p>
    <w:p w14:paraId="2356CA2D" w14:textId="760AE3C8" w:rsidR="001243B8" w:rsidRDefault="00E3779C" w:rsidP="0034038C">
      <w:pPr>
        <w:rPr>
          <w:rFonts w:ascii="Arial" w:hAnsi="Arial" w:cs="Arial"/>
        </w:rPr>
      </w:pPr>
      <w:r w:rsidRPr="008B40F9">
        <w:rPr>
          <w:rFonts w:ascii="Arial" w:hAnsi="Arial" w:cs="Arial"/>
        </w:rPr>
        <w:t xml:space="preserve">Wir teilen insoweit Ihren Standpunkt vollumfänglich, möchten Sie aber auf weitere, aus unserer Sicht mindestens ebenso gravierende Folgen des </w:t>
      </w:r>
      <w:r w:rsidR="00452098">
        <w:rPr>
          <w:rFonts w:ascii="Arial" w:hAnsi="Arial" w:cs="Arial"/>
        </w:rPr>
        <w:t xml:space="preserve">von der Genderideologie geprägten </w:t>
      </w:r>
      <w:r w:rsidRPr="008B40F9">
        <w:rPr>
          <w:rFonts w:ascii="Arial" w:hAnsi="Arial" w:cs="Arial"/>
        </w:rPr>
        <w:t xml:space="preserve">Selbstbestimmungsgesetzes (SBGG) aufmerksam machen, nämlich </w:t>
      </w:r>
      <w:r w:rsidR="00175784" w:rsidRPr="008B40F9">
        <w:rPr>
          <w:rFonts w:ascii="Arial" w:hAnsi="Arial" w:cs="Arial"/>
        </w:rPr>
        <w:t xml:space="preserve">die </w:t>
      </w:r>
      <w:r w:rsidRPr="008B40F9">
        <w:rPr>
          <w:rFonts w:ascii="Arial" w:hAnsi="Arial" w:cs="Arial"/>
        </w:rPr>
        <w:t>Auswirkung</w:t>
      </w:r>
      <w:r w:rsidR="001241AB" w:rsidRPr="008B40F9">
        <w:rPr>
          <w:rFonts w:ascii="Arial" w:hAnsi="Arial" w:cs="Arial"/>
        </w:rPr>
        <w:t>en</w:t>
      </w:r>
      <w:r w:rsidRPr="008B40F9">
        <w:rPr>
          <w:rFonts w:ascii="Arial" w:hAnsi="Arial" w:cs="Arial"/>
        </w:rPr>
        <w:t xml:space="preserve"> auf</w:t>
      </w:r>
      <w:r w:rsidR="001146EB" w:rsidRPr="008B40F9">
        <w:rPr>
          <w:rFonts w:ascii="Arial" w:hAnsi="Arial" w:cs="Arial"/>
        </w:rPr>
        <w:t xml:space="preserve"> die grundgesetzlich geschützten </w:t>
      </w:r>
      <w:r w:rsidR="001146EB" w:rsidRPr="008B40F9">
        <w:rPr>
          <w:rFonts w:ascii="Arial" w:hAnsi="Arial" w:cs="Arial"/>
          <w:b/>
          <w:bCs/>
        </w:rPr>
        <w:t>geschlechtsbasierten Rechte von</w:t>
      </w:r>
      <w:r w:rsidRPr="008B40F9">
        <w:rPr>
          <w:rFonts w:ascii="Arial" w:hAnsi="Arial" w:cs="Arial"/>
        </w:rPr>
        <w:t xml:space="preserve"> </w:t>
      </w:r>
      <w:r w:rsidRPr="008B40F9">
        <w:rPr>
          <w:rFonts w:ascii="Arial" w:hAnsi="Arial" w:cs="Arial"/>
          <w:b/>
          <w:bCs/>
        </w:rPr>
        <w:t>Frauen</w:t>
      </w:r>
      <w:r w:rsidR="00F00F6C" w:rsidRPr="008B40F9">
        <w:rPr>
          <w:rFonts w:ascii="Arial" w:hAnsi="Arial" w:cs="Arial"/>
          <w:b/>
          <w:bCs/>
        </w:rPr>
        <w:t xml:space="preserve"> (1)</w:t>
      </w:r>
      <w:r w:rsidR="004E4B70" w:rsidRPr="008B40F9">
        <w:rPr>
          <w:rStyle w:val="Funotenzeichen"/>
          <w:rFonts w:ascii="Arial" w:hAnsi="Arial" w:cs="Arial"/>
        </w:rPr>
        <w:footnoteReference w:id="1"/>
      </w:r>
      <w:r w:rsidR="00F00F6C" w:rsidRPr="008B40F9">
        <w:rPr>
          <w:rFonts w:ascii="Arial" w:hAnsi="Arial" w:cs="Arial"/>
          <w:b/>
          <w:bCs/>
        </w:rPr>
        <w:t xml:space="preserve"> </w:t>
      </w:r>
      <w:r w:rsidR="00F00F6C" w:rsidRPr="008B40F9">
        <w:rPr>
          <w:rFonts w:ascii="Arial" w:hAnsi="Arial" w:cs="Arial"/>
        </w:rPr>
        <w:t xml:space="preserve">und </w:t>
      </w:r>
      <w:r w:rsidR="00595B36" w:rsidRPr="008B40F9">
        <w:rPr>
          <w:rFonts w:ascii="Arial" w:hAnsi="Arial" w:cs="Arial"/>
        </w:rPr>
        <w:t xml:space="preserve">auf </w:t>
      </w:r>
      <w:r w:rsidR="00F00F6C" w:rsidRPr="008B40F9">
        <w:rPr>
          <w:rFonts w:ascii="Arial" w:hAnsi="Arial" w:cs="Arial"/>
        </w:rPr>
        <w:t>das hohe Gut der</w:t>
      </w:r>
      <w:r w:rsidR="00F00F6C" w:rsidRPr="008B40F9">
        <w:rPr>
          <w:rFonts w:ascii="Arial" w:hAnsi="Arial" w:cs="Arial"/>
          <w:b/>
          <w:bCs/>
        </w:rPr>
        <w:t xml:space="preserve"> Meinungsfreiheit </w:t>
      </w:r>
      <w:r w:rsidR="00F00F6C" w:rsidRPr="008B40F9">
        <w:rPr>
          <w:rFonts w:ascii="Arial" w:hAnsi="Arial" w:cs="Arial"/>
        </w:rPr>
        <w:t>für</w:t>
      </w:r>
      <w:r w:rsidR="00F00F6C" w:rsidRPr="008B40F9">
        <w:rPr>
          <w:rFonts w:ascii="Arial" w:hAnsi="Arial" w:cs="Arial"/>
          <w:b/>
          <w:bCs/>
        </w:rPr>
        <w:t xml:space="preserve"> alle (2)</w:t>
      </w:r>
      <w:r w:rsidRPr="008B40F9">
        <w:rPr>
          <w:rFonts w:ascii="Arial" w:hAnsi="Arial" w:cs="Arial"/>
        </w:rPr>
        <w:t>.</w:t>
      </w:r>
      <w:r w:rsidR="008308FA" w:rsidRPr="008B40F9">
        <w:rPr>
          <w:rFonts w:ascii="Arial" w:hAnsi="Arial" w:cs="Arial"/>
        </w:rPr>
        <w:t xml:space="preserve"> Schließlich </w:t>
      </w:r>
      <w:r w:rsidR="00595B36" w:rsidRPr="008B40F9">
        <w:rPr>
          <w:rFonts w:ascii="Arial" w:hAnsi="Arial" w:cs="Arial"/>
        </w:rPr>
        <w:t xml:space="preserve">weisen wir auf die immensen Kosten hin, die die von Bündnis 90/Die Grünen angestrebte </w:t>
      </w:r>
      <w:r w:rsidR="008308FA" w:rsidRPr="008B40F9">
        <w:rPr>
          <w:rFonts w:ascii="Arial" w:hAnsi="Arial" w:cs="Arial"/>
          <w:b/>
          <w:bCs/>
        </w:rPr>
        <w:t xml:space="preserve">Kostenübernahme </w:t>
      </w:r>
      <w:r w:rsidR="002F574E" w:rsidRPr="008B40F9">
        <w:rPr>
          <w:rFonts w:ascii="Arial" w:hAnsi="Arial" w:cs="Arial"/>
          <w:b/>
          <w:bCs/>
        </w:rPr>
        <w:t xml:space="preserve">operativer </w:t>
      </w:r>
      <w:r w:rsidR="00595B36" w:rsidRPr="008B40F9">
        <w:rPr>
          <w:rFonts w:ascii="Arial" w:hAnsi="Arial" w:cs="Arial"/>
          <w:b/>
          <w:bCs/>
        </w:rPr>
        <w:t xml:space="preserve">und kosmetischer </w:t>
      </w:r>
      <w:r w:rsidR="002F574E" w:rsidRPr="008B40F9">
        <w:rPr>
          <w:rFonts w:ascii="Arial" w:hAnsi="Arial" w:cs="Arial"/>
          <w:b/>
          <w:bCs/>
        </w:rPr>
        <w:t>Eingriffe zur Geschlechtsangleichung</w:t>
      </w:r>
      <w:r w:rsidR="002F574E" w:rsidRPr="008B40F9">
        <w:rPr>
          <w:rFonts w:ascii="Arial" w:hAnsi="Arial" w:cs="Arial"/>
        </w:rPr>
        <w:t xml:space="preserve"> bei Erwachsenen</w:t>
      </w:r>
      <w:r w:rsidR="008308FA" w:rsidRPr="008B40F9">
        <w:rPr>
          <w:rFonts w:ascii="Arial" w:hAnsi="Arial" w:cs="Arial"/>
        </w:rPr>
        <w:t xml:space="preserve"> </w:t>
      </w:r>
      <w:r w:rsidR="00296530" w:rsidRPr="008B40F9">
        <w:rPr>
          <w:rFonts w:ascii="Arial" w:hAnsi="Arial" w:cs="Arial"/>
        </w:rPr>
        <w:t xml:space="preserve">durch die GKV </w:t>
      </w:r>
      <w:r w:rsidR="00595B36" w:rsidRPr="008B40F9">
        <w:rPr>
          <w:rFonts w:ascii="Arial" w:hAnsi="Arial" w:cs="Arial"/>
        </w:rPr>
        <w:t xml:space="preserve">zur Folge haben würden </w:t>
      </w:r>
      <w:r w:rsidR="008308FA" w:rsidRPr="008B40F9">
        <w:rPr>
          <w:rFonts w:ascii="Arial" w:hAnsi="Arial" w:cs="Arial"/>
          <w:b/>
          <w:bCs/>
        </w:rPr>
        <w:t>(3)</w:t>
      </w:r>
      <w:r w:rsidR="008308FA" w:rsidRPr="008B40F9">
        <w:rPr>
          <w:rFonts w:ascii="Arial" w:hAnsi="Arial" w:cs="Arial"/>
        </w:rPr>
        <w:t>.</w:t>
      </w:r>
      <w:r w:rsidR="00296530" w:rsidRPr="008B40F9">
        <w:rPr>
          <w:rFonts w:ascii="Arial" w:hAnsi="Arial" w:cs="Arial"/>
        </w:rPr>
        <w:br/>
      </w:r>
    </w:p>
    <w:p w14:paraId="57E86247" w14:textId="77777777" w:rsidR="003057A8" w:rsidRPr="008B40F9" w:rsidRDefault="003057A8" w:rsidP="0034038C">
      <w:pPr>
        <w:rPr>
          <w:rFonts w:ascii="Arial" w:hAnsi="Arial" w:cs="Arial"/>
        </w:rPr>
      </w:pPr>
    </w:p>
    <w:p w14:paraId="6819365A" w14:textId="649622AD" w:rsidR="001243B8" w:rsidRDefault="0034038C" w:rsidP="008B40F9">
      <w:pPr>
        <w:rPr>
          <w:rFonts w:ascii="Arial" w:hAnsi="Arial" w:cs="Arial"/>
        </w:rPr>
      </w:pPr>
      <w:r w:rsidRPr="008B40F9">
        <w:rPr>
          <w:rFonts w:ascii="Arial" w:hAnsi="Arial" w:cs="Arial"/>
        </w:rPr>
        <w:t xml:space="preserve">Cc: Dorothee Bär, CSU MdB </w:t>
      </w:r>
      <w:hyperlink r:id="rId10" w:history="1">
        <w:r w:rsidR="008B40F9" w:rsidRPr="00DC6F9B">
          <w:rPr>
            <w:rStyle w:val="Hyperlink"/>
            <w:rFonts w:ascii="Arial" w:hAnsi="Arial" w:cs="Arial"/>
          </w:rPr>
          <w:t>dorothee.baer@bundestag.de</w:t>
        </w:r>
      </w:hyperlink>
      <w:r w:rsidRPr="008B40F9">
        <w:rPr>
          <w:rFonts w:ascii="Arial" w:hAnsi="Arial" w:cs="Arial"/>
        </w:rPr>
        <w:t xml:space="preserve"> </w:t>
      </w:r>
      <w:r w:rsidRPr="008B40F9">
        <w:rPr>
          <w:rFonts w:ascii="Arial" w:hAnsi="Arial" w:cs="Arial"/>
        </w:rPr>
        <w:br/>
        <w:t xml:space="preserve">      Silvia Breher, CDU MdB </w:t>
      </w:r>
      <w:hyperlink r:id="rId11" w:history="1">
        <w:r w:rsidR="008B40F9" w:rsidRPr="00DC6F9B">
          <w:rPr>
            <w:rStyle w:val="Hyperlink"/>
            <w:rFonts w:ascii="Arial" w:hAnsi="Arial" w:cs="Arial"/>
          </w:rPr>
          <w:t>silvia.breher@bundestag.de</w:t>
        </w:r>
      </w:hyperlink>
      <w:r w:rsidR="008B40F9">
        <w:rPr>
          <w:rStyle w:val="Hyperlink"/>
          <w:rFonts w:ascii="Arial" w:hAnsi="Arial" w:cs="Arial"/>
          <w:color w:val="auto"/>
        </w:rPr>
        <w:t xml:space="preserve"> </w:t>
      </w:r>
      <w:r w:rsidRPr="008B40F9">
        <w:rPr>
          <w:rFonts w:ascii="Arial" w:hAnsi="Arial" w:cs="Arial"/>
        </w:rPr>
        <w:t xml:space="preserve"> </w:t>
      </w:r>
      <w:r w:rsidR="008B40F9">
        <w:rPr>
          <w:rFonts w:ascii="Arial" w:hAnsi="Arial" w:cs="Arial"/>
        </w:rPr>
        <w:t xml:space="preserve"> </w:t>
      </w:r>
      <w:r w:rsidRPr="008B40F9">
        <w:rPr>
          <w:rFonts w:ascii="Arial" w:hAnsi="Arial" w:cs="Arial"/>
        </w:rPr>
        <w:br/>
        <w:t xml:space="preserve">      Susanne Hierl, CSU MdB </w:t>
      </w:r>
      <w:hyperlink r:id="rId12" w:history="1">
        <w:r w:rsidR="008B40F9" w:rsidRPr="00DC6F9B">
          <w:rPr>
            <w:rStyle w:val="Hyperlink"/>
            <w:rFonts w:ascii="Arial" w:hAnsi="Arial" w:cs="Arial"/>
          </w:rPr>
          <w:t>susanne.hierl@bundestag.de</w:t>
        </w:r>
      </w:hyperlink>
      <w:r w:rsidR="008B40F9">
        <w:rPr>
          <w:rStyle w:val="Hyperlink"/>
          <w:rFonts w:ascii="Arial" w:hAnsi="Arial" w:cs="Arial"/>
          <w:color w:val="auto"/>
        </w:rPr>
        <w:t xml:space="preserve">  </w:t>
      </w:r>
      <w:r w:rsidR="003057A8">
        <w:rPr>
          <w:rStyle w:val="Hyperlink"/>
          <w:rFonts w:ascii="Arial" w:hAnsi="Arial" w:cs="Arial"/>
          <w:color w:val="auto"/>
        </w:rPr>
        <w:br/>
      </w:r>
      <w:r w:rsidR="003057A8" w:rsidRPr="008B40F9">
        <w:rPr>
          <w:rFonts w:ascii="Arial" w:hAnsi="Arial" w:cs="Arial"/>
        </w:rPr>
        <w:t xml:space="preserve">      Prof. Dr. Günter Krings, CDU MdB </w:t>
      </w:r>
      <w:hyperlink r:id="rId13" w:history="1">
        <w:r w:rsidR="003057A8" w:rsidRPr="00DC6F9B">
          <w:rPr>
            <w:rStyle w:val="Hyperlink"/>
            <w:rFonts w:ascii="Arial" w:hAnsi="Arial" w:cs="Arial"/>
          </w:rPr>
          <w:t>guenter.krings@bundestag.de</w:t>
        </w:r>
      </w:hyperlink>
      <w:r w:rsidR="003057A8" w:rsidRPr="008B40F9">
        <w:rPr>
          <w:rFonts w:ascii="Arial" w:hAnsi="Arial" w:cs="Arial"/>
        </w:rPr>
        <w:t xml:space="preserve"> </w:t>
      </w:r>
      <w:r w:rsidRPr="008B40F9">
        <w:rPr>
          <w:rFonts w:ascii="Arial" w:hAnsi="Arial" w:cs="Arial"/>
        </w:rPr>
        <w:t xml:space="preserve"> </w:t>
      </w:r>
      <w:r w:rsidR="008B40F9">
        <w:rPr>
          <w:rFonts w:ascii="Arial" w:hAnsi="Arial" w:cs="Arial"/>
        </w:rPr>
        <w:t xml:space="preserve"> </w:t>
      </w:r>
      <w:r w:rsidRPr="008B40F9">
        <w:rPr>
          <w:rFonts w:ascii="Arial" w:hAnsi="Arial" w:cs="Arial"/>
        </w:rPr>
        <w:br/>
        <w:t xml:space="preserve">      Andrea </w:t>
      </w:r>
      <w:proofErr w:type="spellStart"/>
      <w:r w:rsidRPr="008B40F9">
        <w:rPr>
          <w:rFonts w:ascii="Arial" w:hAnsi="Arial" w:cs="Arial"/>
        </w:rPr>
        <w:t>Lindholz</w:t>
      </w:r>
      <w:proofErr w:type="spellEnd"/>
      <w:r w:rsidRPr="008B40F9">
        <w:rPr>
          <w:rFonts w:ascii="Arial" w:hAnsi="Arial" w:cs="Arial"/>
        </w:rPr>
        <w:t xml:space="preserve">, CSU MdB </w:t>
      </w:r>
      <w:hyperlink r:id="rId14" w:history="1">
        <w:r w:rsidR="008B40F9" w:rsidRPr="00DC6F9B">
          <w:rPr>
            <w:rStyle w:val="Hyperlink"/>
            <w:rFonts w:ascii="Arial" w:hAnsi="Arial" w:cs="Arial"/>
          </w:rPr>
          <w:t>andrea.lindholz@bundestag.de</w:t>
        </w:r>
      </w:hyperlink>
      <w:r w:rsidRPr="008B40F9">
        <w:rPr>
          <w:rFonts w:ascii="Arial" w:hAnsi="Arial" w:cs="Arial"/>
        </w:rPr>
        <w:t xml:space="preserve"> </w:t>
      </w:r>
      <w:r w:rsidR="008B40F9">
        <w:rPr>
          <w:rFonts w:ascii="Arial" w:hAnsi="Arial" w:cs="Arial"/>
        </w:rPr>
        <w:t xml:space="preserve"> </w:t>
      </w:r>
      <w:r w:rsidRPr="008B40F9">
        <w:rPr>
          <w:rFonts w:ascii="Arial" w:hAnsi="Arial" w:cs="Arial"/>
        </w:rPr>
        <w:br/>
        <w:t xml:space="preserve">      Elisabeth Winkelme</w:t>
      </w:r>
      <w:r w:rsidR="00BD39C1">
        <w:rPr>
          <w:rFonts w:ascii="Arial" w:hAnsi="Arial" w:cs="Arial"/>
        </w:rPr>
        <w:t>i</w:t>
      </w:r>
      <w:r w:rsidRPr="008B40F9">
        <w:rPr>
          <w:rFonts w:ascii="Arial" w:hAnsi="Arial" w:cs="Arial"/>
        </w:rPr>
        <w:t xml:space="preserve">er-Becker, CDU MdB </w:t>
      </w:r>
      <w:hyperlink r:id="rId15" w:history="1">
        <w:r w:rsidR="00BD39C1" w:rsidRPr="00B83D1D">
          <w:rPr>
            <w:rStyle w:val="Hyperlink"/>
            <w:rFonts w:ascii="Arial" w:hAnsi="Arial" w:cs="Arial"/>
          </w:rPr>
          <w:t>elisabeth.winkelmeier-becker@bundestag.de</w:t>
        </w:r>
      </w:hyperlink>
      <w:r w:rsidRPr="008B40F9">
        <w:rPr>
          <w:rFonts w:ascii="Arial" w:hAnsi="Arial" w:cs="Arial"/>
        </w:rPr>
        <w:t xml:space="preserve"> </w:t>
      </w:r>
      <w:r w:rsidR="008B40F9">
        <w:rPr>
          <w:rFonts w:ascii="Arial" w:hAnsi="Arial" w:cs="Arial"/>
        </w:rPr>
        <w:t xml:space="preserve"> </w:t>
      </w:r>
      <w:r w:rsidR="00414F32" w:rsidRPr="008B40F9">
        <w:rPr>
          <w:rFonts w:ascii="Arial" w:hAnsi="Arial" w:cs="Arial"/>
        </w:rPr>
        <w:t xml:space="preserve">  </w:t>
      </w:r>
      <w:r w:rsidR="00414F32" w:rsidRPr="008B40F9">
        <w:rPr>
          <w:rFonts w:ascii="Arial" w:hAnsi="Arial" w:cs="Arial"/>
        </w:rPr>
        <w:br/>
        <w:t xml:space="preserve">      Mareike Lotte Wulf, CDU MdB </w:t>
      </w:r>
      <w:hyperlink r:id="rId16" w:history="1">
        <w:r w:rsidR="008B40F9" w:rsidRPr="00DC6F9B">
          <w:rPr>
            <w:rStyle w:val="Hyperlink"/>
            <w:rFonts w:ascii="Arial" w:hAnsi="Arial" w:cs="Arial"/>
          </w:rPr>
          <w:t>mareike.wulf@bundestag.de</w:t>
        </w:r>
      </w:hyperlink>
      <w:r w:rsidR="00414F32" w:rsidRPr="008B40F9">
        <w:rPr>
          <w:rFonts w:ascii="Arial" w:hAnsi="Arial" w:cs="Arial"/>
        </w:rPr>
        <w:t xml:space="preserve"> </w:t>
      </w:r>
      <w:r w:rsidR="008B40F9">
        <w:rPr>
          <w:rFonts w:ascii="Arial" w:hAnsi="Arial" w:cs="Arial"/>
        </w:rPr>
        <w:t xml:space="preserve"> </w:t>
      </w:r>
    </w:p>
    <w:p w14:paraId="71BE12E8" w14:textId="77777777" w:rsidR="001243B8" w:rsidRPr="008B40F9" w:rsidRDefault="001243B8" w:rsidP="001243B8">
      <w:pPr>
        <w:jc w:val="both"/>
        <w:rPr>
          <w:rFonts w:ascii="Arial" w:hAnsi="Arial" w:cs="Arial"/>
          <w:b/>
          <w:bCs/>
        </w:rPr>
      </w:pPr>
      <w:r w:rsidRPr="008B40F9">
        <w:rPr>
          <w:rFonts w:ascii="Arial" w:hAnsi="Arial" w:cs="Arial"/>
          <w:b/>
          <w:bCs/>
        </w:rPr>
        <w:lastRenderedPageBreak/>
        <w:t>(1)</w:t>
      </w:r>
      <w:r w:rsidRPr="008B40F9">
        <w:rPr>
          <w:rFonts w:ascii="Arial" w:hAnsi="Arial" w:cs="Arial"/>
        </w:rPr>
        <w:t xml:space="preserve"> Gleichsetzung von </w:t>
      </w:r>
      <w:r w:rsidRPr="008B40F9">
        <w:rPr>
          <w:rFonts w:ascii="Arial" w:hAnsi="Arial" w:cs="Arial"/>
          <w:b/>
          <w:bCs/>
        </w:rPr>
        <w:t>‚Geschlecht‘</w:t>
      </w:r>
      <w:r w:rsidRPr="008B40F9">
        <w:rPr>
          <w:rFonts w:ascii="Arial" w:hAnsi="Arial" w:cs="Arial"/>
        </w:rPr>
        <w:t xml:space="preserve"> mit </w:t>
      </w:r>
      <w:r w:rsidRPr="008B40F9">
        <w:rPr>
          <w:rFonts w:ascii="Arial" w:hAnsi="Arial" w:cs="Arial"/>
          <w:b/>
          <w:bCs/>
        </w:rPr>
        <w:t>‚Geschlechtsidentität‘</w:t>
      </w:r>
    </w:p>
    <w:p w14:paraId="23E84FAF" w14:textId="2C5A3B95" w:rsidR="001243B8" w:rsidRPr="008B40F9" w:rsidRDefault="001243B8" w:rsidP="001243B8">
      <w:pPr>
        <w:pStyle w:val="Listenabsatz"/>
        <w:numPr>
          <w:ilvl w:val="0"/>
          <w:numId w:val="16"/>
        </w:numPr>
        <w:jc w:val="both"/>
        <w:rPr>
          <w:rFonts w:ascii="Arial" w:hAnsi="Arial" w:cs="Arial"/>
        </w:rPr>
      </w:pPr>
      <w:r w:rsidRPr="008B40F9">
        <w:rPr>
          <w:rFonts w:ascii="Arial" w:hAnsi="Arial" w:cs="Arial"/>
        </w:rPr>
        <w:t>Der Geschlechtseintrag im Personenstandsregister verliert durch die</w:t>
      </w:r>
      <w:r w:rsidRPr="008B40F9">
        <w:rPr>
          <w:rFonts w:ascii="Arial" w:hAnsi="Arial" w:cs="Arial"/>
          <w:b/>
          <w:bCs/>
        </w:rPr>
        <w:t xml:space="preserve"> Gleichsetzung </w:t>
      </w:r>
      <w:r w:rsidR="00595B36" w:rsidRPr="008B40F9">
        <w:rPr>
          <w:rFonts w:ascii="Arial" w:hAnsi="Arial" w:cs="Arial"/>
          <w:b/>
          <w:bCs/>
        </w:rPr>
        <w:t xml:space="preserve">von ‚Geschlecht‘ </w:t>
      </w:r>
      <w:r w:rsidRPr="008B40F9">
        <w:rPr>
          <w:rFonts w:ascii="Arial" w:hAnsi="Arial" w:cs="Arial"/>
        </w:rPr>
        <w:t xml:space="preserve">mit dem </w:t>
      </w:r>
      <w:r w:rsidRPr="008B40F9">
        <w:rPr>
          <w:rFonts w:ascii="Arial" w:hAnsi="Arial" w:cs="Arial"/>
          <w:b/>
          <w:bCs/>
        </w:rPr>
        <w:t xml:space="preserve">unbestimmten Rechtsbegriff ‚Geschlechtsidentität‘ </w:t>
      </w:r>
      <w:r w:rsidRPr="008B40F9">
        <w:rPr>
          <w:rFonts w:ascii="Arial" w:hAnsi="Arial" w:cs="Arial"/>
        </w:rPr>
        <w:t xml:space="preserve">seine </w:t>
      </w:r>
      <w:r w:rsidRPr="008B40F9">
        <w:rPr>
          <w:rFonts w:ascii="Arial" w:hAnsi="Arial" w:cs="Arial"/>
          <w:b/>
          <w:bCs/>
        </w:rPr>
        <w:t>Beweisfunktion</w:t>
      </w:r>
      <w:r w:rsidRPr="008B40F9">
        <w:rPr>
          <w:rFonts w:ascii="Arial" w:hAnsi="Arial" w:cs="Arial"/>
        </w:rPr>
        <w:t>. Damit wird die Durchsetzung geschlechtsbasierter Rechte von</w:t>
      </w:r>
      <w:r w:rsidRPr="008B40F9">
        <w:rPr>
          <w:rFonts w:ascii="Arial" w:hAnsi="Arial" w:cs="Arial"/>
          <w:b/>
          <w:bCs/>
        </w:rPr>
        <w:t xml:space="preserve"> Frauen und Mädchen nach Art. 3 Abs. (2) Grundgesetz </w:t>
      </w:r>
      <w:r w:rsidRPr="008B40F9">
        <w:rPr>
          <w:rFonts w:ascii="Arial" w:hAnsi="Arial" w:cs="Arial"/>
        </w:rPr>
        <w:t>erschwert, wenn nicht unmöglich gemacht:</w:t>
      </w:r>
    </w:p>
    <w:p w14:paraId="3E53BA0F" w14:textId="77777777" w:rsidR="001243B8" w:rsidRPr="008B40F9" w:rsidRDefault="001243B8" w:rsidP="00151411">
      <w:pPr>
        <w:pStyle w:val="Listenabsatz"/>
        <w:jc w:val="both"/>
        <w:rPr>
          <w:rFonts w:ascii="Arial" w:hAnsi="Arial" w:cs="Arial"/>
        </w:rPr>
      </w:pPr>
    </w:p>
    <w:p w14:paraId="28757436" w14:textId="7A7411D8" w:rsidR="003057A8" w:rsidRDefault="007E6ADC" w:rsidP="003057A8">
      <w:pPr>
        <w:pStyle w:val="Listenabsatz"/>
        <w:numPr>
          <w:ilvl w:val="0"/>
          <w:numId w:val="12"/>
        </w:numPr>
        <w:jc w:val="both"/>
        <w:rPr>
          <w:rFonts w:ascii="Arial" w:hAnsi="Arial" w:cs="Arial"/>
        </w:rPr>
      </w:pPr>
      <w:r w:rsidRPr="008B40F9">
        <w:rPr>
          <w:rFonts w:ascii="Arial" w:hAnsi="Arial" w:cs="Arial"/>
        </w:rPr>
        <w:t xml:space="preserve">Die Regelungen für </w:t>
      </w:r>
      <w:r w:rsidRPr="008B40F9">
        <w:rPr>
          <w:rFonts w:ascii="Arial" w:hAnsi="Arial" w:cs="Arial"/>
          <w:b/>
          <w:bCs/>
        </w:rPr>
        <w:t>geschlechtsspezifische Räume</w:t>
      </w:r>
      <w:r w:rsidRPr="008B40F9">
        <w:rPr>
          <w:rFonts w:ascii="Arial" w:hAnsi="Arial" w:cs="Arial"/>
        </w:rPr>
        <w:t xml:space="preserve"> und </w:t>
      </w:r>
      <w:r w:rsidRPr="008B40F9">
        <w:rPr>
          <w:rFonts w:ascii="Arial" w:hAnsi="Arial" w:cs="Arial"/>
          <w:b/>
          <w:bCs/>
        </w:rPr>
        <w:t>gesellschaftliche</w:t>
      </w:r>
      <w:r w:rsidRPr="008B40F9">
        <w:rPr>
          <w:rFonts w:ascii="Arial" w:hAnsi="Arial" w:cs="Arial"/>
        </w:rPr>
        <w:t xml:space="preserve"> </w:t>
      </w:r>
      <w:r w:rsidRPr="008B40F9">
        <w:rPr>
          <w:rFonts w:ascii="Arial" w:hAnsi="Arial" w:cs="Arial"/>
          <w:b/>
          <w:bCs/>
        </w:rPr>
        <w:t>Teilhabe</w:t>
      </w:r>
      <w:r w:rsidRPr="008B40F9">
        <w:rPr>
          <w:rFonts w:ascii="Arial" w:hAnsi="Arial" w:cs="Arial"/>
        </w:rPr>
        <w:t xml:space="preserve"> von </w:t>
      </w:r>
      <w:r w:rsidRPr="008B40F9">
        <w:rPr>
          <w:rFonts w:ascii="Arial" w:hAnsi="Arial" w:cs="Arial"/>
          <w:b/>
          <w:bCs/>
        </w:rPr>
        <w:t>Frauen und Mädchen</w:t>
      </w:r>
      <w:r w:rsidRPr="008B40F9">
        <w:rPr>
          <w:rFonts w:ascii="Arial" w:hAnsi="Arial" w:cs="Arial"/>
        </w:rPr>
        <w:t xml:space="preserve"> (Hausrecht, Länderkompetenz, Strafrecht, private Satzungshoheit) sind für deren Schutz und gesellschaftliche Teilhabe </w:t>
      </w:r>
      <w:r w:rsidRPr="008B40F9">
        <w:rPr>
          <w:rFonts w:ascii="Arial" w:hAnsi="Arial" w:cs="Arial"/>
          <w:b/>
          <w:bCs/>
        </w:rPr>
        <w:t>ungeeignet</w:t>
      </w:r>
      <w:r w:rsidRPr="008B40F9">
        <w:rPr>
          <w:rFonts w:ascii="Arial" w:hAnsi="Arial" w:cs="Arial"/>
        </w:rPr>
        <w:t>.</w:t>
      </w:r>
      <w:r w:rsidR="00175784" w:rsidRPr="008B40F9">
        <w:rPr>
          <w:rFonts w:ascii="Arial" w:hAnsi="Arial" w:cs="Arial"/>
        </w:rPr>
        <w:tab/>
      </w:r>
      <w:r w:rsidR="00175784" w:rsidRPr="008B40F9">
        <w:rPr>
          <w:rFonts w:ascii="Arial" w:hAnsi="Arial" w:cs="Arial"/>
        </w:rPr>
        <w:br/>
      </w:r>
      <w:r w:rsidR="003D3771" w:rsidRPr="008B40F9">
        <w:rPr>
          <w:rFonts w:ascii="Arial" w:hAnsi="Arial" w:cs="Arial"/>
          <w:b/>
          <w:bCs/>
        </w:rPr>
        <w:t>Schutzsuchende Frauen</w:t>
      </w:r>
      <w:r w:rsidR="003D3771" w:rsidRPr="008B40F9">
        <w:rPr>
          <w:rFonts w:ascii="Arial" w:hAnsi="Arial" w:cs="Arial"/>
        </w:rPr>
        <w:t xml:space="preserve"> in </w:t>
      </w:r>
      <w:r w:rsidR="003D3771" w:rsidRPr="008B40F9">
        <w:rPr>
          <w:rFonts w:ascii="Arial" w:hAnsi="Arial" w:cs="Arial"/>
          <w:b/>
          <w:bCs/>
        </w:rPr>
        <w:t xml:space="preserve">Frauenhäusern </w:t>
      </w:r>
      <w:r w:rsidR="003D3771" w:rsidRPr="008B40F9">
        <w:rPr>
          <w:rFonts w:ascii="Arial" w:hAnsi="Arial" w:cs="Arial"/>
        </w:rPr>
        <w:t>wären nicht vor Männern geschützt, da</w:t>
      </w:r>
      <w:r w:rsidR="00AF39D3" w:rsidRPr="008B40F9">
        <w:rPr>
          <w:rFonts w:ascii="Arial" w:hAnsi="Arial" w:cs="Arial"/>
        </w:rPr>
        <w:t>, wie</w:t>
      </w:r>
      <w:r w:rsidR="003D3771" w:rsidRPr="008B40F9">
        <w:rPr>
          <w:rFonts w:ascii="Arial" w:hAnsi="Arial" w:cs="Arial"/>
        </w:rPr>
        <w:t xml:space="preserve"> in der Gesetzesbeg</w:t>
      </w:r>
      <w:r w:rsidR="00AF39D3" w:rsidRPr="008B40F9">
        <w:rPr>
          <w:rFonts w:ascii="Arial" w:hAnsi="Arial" w:cs="Arial"/>
        </w:rPr>
        <w:t>r</w:t>
      </w:r>
      <w:r w:rsidR="003D3771" w:rsidRPr="008B40F9">
        <w:rPr>
          <w:rFonts w:ascii="Arial" w:hAnsi="Arial" w:cs="Arial"/>
        </w:rPr>
        <w:t>ündung zum SBGG</w:t>
      </w:r>
      <w:r w:rsidR="00AF39D3" w:rsidRPr="008B40F9">
        <w:rPr>
          <w:rStyle w:val="Funotenzeichen"/>
          <w:rFonts w:ascii="Arial" w:hAnsi="Arial" w:cs="Arial"/>
        </w:rPr>
        <w:footnoteReference w:id="2"/>
      </w:r>
      <w:r w:rsidR="00AF39D3" w:rsidRPr="008B40F9">
        <w:rPr>
          <w:rFonts w:ascii="Arial" w:hAnsi="Arial" w:cs="Arial"/>
        </w:rPr>
        <w:t xml:space="preserve"> vermerkt, das Einlasskriterium „geschlechtsspezifische Gewalt“ Männer mit „weiblicher Geschlechtsidentität</w:t>
      </w:r>
      <w:r w:rsidR="003057A8">
        <w:rPr>
          <w:rFonts w:ascii="Arial" w:hAnsi="Arial" w:cs="Arial"/>
        </w:rPr>
        <w:t>“</w:t>
      </w:r>
      <w:r w:rsidR="00AF39D3" w:rsidRPr="008B40F9">
        <w:rPr>
          <w:rFonts w:ascii="Arial" w:hAnsi="Arial" w:cs="Arial"/>
        </w:rPr>
        <w:t xml:space="preserve"> einschließt.</w:t>
      </w:r>
      <w:r w:rsidR="003D3771" w:rsidRPr="008B40F9">
        <w:rPr>
          <w:rFonts w:ascii="Arial" w:hAnsi="Arial" w:cs="Arial"/>
        </w:rPr>
        <w:t xml:space="preserve"> </w:t>
      </w:r>
      <w:r w:rsidR="002C26E6" w:rsidRPr="008B40F9">
        <w:rPr>
          <w:rFonts w:ascii="Arial" w:hAnsi="Arial" w:cs="Arial"/>
        </w:rPr>
        <w:t xml:space="preserve">Verbliebene Beurteilungsspielräume der Frauenhausbetreiberinnen in Bezug auf den Einlass schutzsuchender Personen in Frauenhäusern würden durch </w:t>
      </w:r>
      <w:r w:rsidR="00037136" w:rsidRPr="008B40F9">
        <w:rPr>
          <w:rFonts w:ascii="Arial" w:hAnsi="Arial" w:cs="Arial"/>
        </w:rPr>
        <w:t xml:space="preserve">die Verabschiedung des von SPD und B90/Die Grünen eingebrachten Entwurfs für ein </w:t>
      </w:r>
      <w:r w:rsidR="002C26E6" w:rsidRPr="008B40F9">
        <w:rPr>
          <w:rFonts w:ascii="Arial" w:hAnsi="Arial" w:cs="Arial"/>
        </w:rPr>
        <w:t>Gewalthilfegesetz</w:t>
      </w:r>
      <w:r w:rsidR="00037136" w:rsidRPr="008B40F9">
        <w:rPr>
          <w:rFonts w:ascii="Arial" w:hAnsi="Arial" w:cs="Arial"/>
        </w:rPr>
        <w:t xml:space="preserve"> (BT-</w:t>
      </w:r>
      <w:proofErr w:type="spellStart"/>
      <w:r w:rsidR="00037136" w:rsidRPr="008B40F9">
        <w:rPr>
          <w:rFonts w:ascii="Arial" w:hAnsi="Arial" w:cs="Arial"/>
        </w:rPr>
        <w:t>Drs</w:t>
      </w:r>
      <w:proofErr w:type="spellEnd"/>
      <w:r w:rsidR="00037136" w:rsidRPr="008B40F9">
        <w:rPr>
          <w:rFonts w:ascii="Arial" w:hAnsi="Arial" w:cs="Arial"/>
        </w:rPr>
        <w:t xml:space="preserve">. 20/14025) zugunsten </w:t>
      </w:r>
      <w:r w:rsidR="003057A8">
        <w:rPr>
          <w:rFonts w:ascii="Arial" w:hAnsi="Arial" w:cs="Arial"/>
        </w:rPr>
        <w:t xml:space="preserve">von </w:t>
      </w:r>
      <w:r w:rsidR="00037136" w:rsidRPr="008B40F9">
        <w:rPr>
          <w:rFonts w:ascii="Arial" w:hAnsi="Arial" w:cs="Arial"/>
        </w:rPr>
        <w:t>Männer</w:t>
      </w:r>
      <w:r w:rsidR="003057A8">
        <w:rPr>
          <w:rFonts w:ascii="Arial" w:hAnsi="Arial" w:cs="Arial"/>
        </w:rPr>
        <w:t>n mit „weiblicher Geschlechtsidentität“</w:t>
      </w:r>
      <w:r w:rsidR="00037136" w:rsidRPr="008B40F9">
        <w:rPr>
          <w:rFonts w:ascii="Arial" w:hAnsi="Arial" w:cs="Arial"/>
        </w:rPr>
        <w:t xml:space="preserve"> endgültig beseitigt.</w:t>
      </w:r>
    </w:p>
    <w:p w14:paraId="3C576130" w14:textId="64A6DB39" w:rsidR="007E6ADC" w:rsidRDefault="003057A8" w:rsidP="003057A8">
      <w:pPr>
        <w:pStyle w:val="Listenabsatz"/>
        <w:ind w:left="1428"/>
        <w:jc w:val="both"/>
        <w:rPr>
          <w:rFonts w:ascii="Arial" w:hAnsi="Arial" w:cs="Arial"/>
        </w:rPr>
      </w:pPr>
      <w:r>
        <w:rPr>
          <w:rFonts w:ascii="Arial" w:hAnsi="Arial" w:cs="Arial"/>
        </w:rPr>
        <w:t>Schutz und gesellschaftliche Teilhabe</w:t>
      </w:r>
      <w:r w:rsidRPr="008B40F9">
        <w:rPr>
          <w:rFonts w:ascii="Arial" w:hAnsi="Arial" w:cs="Arial"/>
        </w:rPr>
        <w:t xml:space="preserve"> </w:t>
      </w:r>
      <w:r w:rsidRPr="008B40F9">
        <w:rPr>
          <w:rFonts w:ascii="Arial" w:hAnsi="Arial" w:cs="Arial"/>
          <w:b/>
          <w:bCs/>
        </w:rPr>
        <w:t>lesbische</w:t>
      </w:r>
      <w:r>
        <w:rPr>
          <w:rFonts w:ascii="Arial" w:hAnsi="Arial" w:cs="Arial"/>
          <w:b/>
          <w:bCs/>
        </w:rPr>
        <w:t>r</w:t>
      </w:r>
      <w:r w:rsidRPr="008B40F9">
        <w:rPr>
          <w:rFonts w:ascii="Arial" w:hAnsi="Arial" w:cs="Arial"/>
          <w:b/>
          <w:bCs/>
        </w:rPr>
        <w:t xml:space="preserve"> Frauen</w:t>
      </w:r>
      <w:r>
        <w:rPr>
          <w:rFonts w:ascii="Arial" w:hAnsi="Arial" w:cs="Arial"/>
          <w:b/>
          <w:bCs/>
        </w:rPr>
        <w:t xml:space="preserve"> </w:t>
      </w:r>
      <w:r w:rsidRPr="003057A8">
        <w:rPr>
          <w:rFonts w:ascii="Arial" w:hAnsi="Arial" w:cs="Arial"/>
        </w:rPr>
        <w:t>steht damit ebenfalls zur Disposition</w:t>
      </w:r>
      <w:r w:rsidRPr="008B40F9">
        <w:rPr>
          <w:rFonts w:ascii="Arial" w:hAnsi="Arial" w:cs="Arial"/>
        </w:rPr>
        <w:t>: Da sich nun jeder Mann zur Frau und damit auch zur „Lesbe“ erklären kann, gibt es keine sicheren Räume für Lesben mehr, in denen ihre sexuelle Orientierung nicht in Frage gestellt wird.</w:t>
      </w:r>
    </w:p>
    <w:p w14:paraId="2209E345" w14:textId="77777777" w:rsidR="003057A8" w:rsidRPr="003057A8" w:rsidRDefault="003057A8" w:rsidP="003057A8">
      <w:pPr>
        <w:pStyle w:val="Listenabsatz"/>
        <w:ind w:left="1428"/>
        <w:jc w:val="both"/>
        <w:rPr>
          <w:rFonts w:ascii="Arial" w:hAnsi="Arial" w:cs="Arial"/>
        </w:rPr>
      </w:pPr>
    </w:p>
    <w:p w14:paraId="598D7CE8" w14:textId="2ACFF2FC" w:rsidR="00151411" w:rsidRPr="008B40F9" w:rsidRDefault="00151411" w:rsidP="00F00F6C">
      <w:pPr>
        <w:pStyle w:val="Listenabsatz"/>
        <w:numPr>
          <w:ilvl w:val="0"/>
          <w:numId w:val="12"/>
        </w:numPr>
        <w:jc w:val="both"/>
        <w:rPr>
          <w:rFonts w:ascii="Arial" w:hAnsi="Arial" w:cs="Arial"/>
        </w:rPr>
      </w:pPr>
      <w:r w:rsidRPr="008B40F9">
        <w:rPr>
          <w:rFonts w:ascii="Arial" w:hAnsi="Arial" w:cs="Arial"/>
        </w:rPr>
        <w:t xml:space="preserve">Rechte für </w:t>
      </w:r>
      <w:r w:rsidRPr="008B40F9">
        <w:rPr>
          <w:rFonts w:ascii="Arial" w:hAnsi="Arial" w:cs="Arial"/>
          <w:b/>
          <w:bCs/>
        </w:rPr>
        <w:t>Frauen</w:t>
      </w:r>
      <w:r w:rsidRPr="008B40F9">
        <w:rPr>
          <w:rFonts w:ascii="Arial" w:hAnsi="Arial" w:cs="Arial"/>
        </w:rPr>
        <w:t xml:space="preserve"> bei der </w:t>
      </w:r>
      <w:r w:rsidRPr="008B40F9">
        <w:rPr>
          <w:rFonts w:ascii="Arial" w:hAnsi="Arial" w:cs="Arial"/>
          <w:b/>
          <w:bCs/>
        </w:rPr>
        <w:t xml:space="preserve">Besetzung von quotierten Stellen </w:t>
      </w:r>
      <w:r w:rsidRPr="008B40F9">
        <w:rPr>
          <w:rFonts w:ascii="Arial" w:hAnsi="Arial" w:cs="Arial"/>
        </w:rPr>
        <w:t>im Berufsleben</w:t>
      </w:r>
      <w:r w:rsidRPr="008B40F9">
        <w:rPr>
          <w:rFonts w:ascii="Arial" w:hAnsi="Arial" w:cs="Arial"/>
          <w:b/>
          <w:bCs/>
        </w:rPr>
        <w:t xml:space="preserve">, </w:t>
      </w:r>
      <w:r w:rsidRPr="008B40F9">
        <w:rPr>
          <w:rFonts w:ascii="Arial" w:hAnsi="Arial" w:cs="Arial"/>
        </w:rPr>
        <w:t>z.B. die Positionen der Gleichstellungsbeauftragten, ihrer Stellvertreterinnen und Vertrauensfrauen, sind fortan mit biologischen Männern zu teilen, welche einen weiblichen Geschlechtseintrag im Personenstandsregister haben.</w:t>
      </w:r>
      <w:r w:rsidR="00175784" w:rsidRPr="008B40F9">
        <w:rPr>
          <w:rFonts w:ascii="Arial" w:hAnsi="Arial" w:cs="Arial"/>
        </w:rPr>
        <w:tab/>
      </w:r>
      <w:r w:rsidR="00175784" w:rsidRPr="008B40F9">
        <w:rPr>
          <w:rFonts w:ascii="Arial" w:hAnsi="Arial" w:cs="Arial"/>
        </w:rPr>
        <w:br/>
      </w:r>
    </w:p>
    <w:p w14:paraId="23FDA361" w14:textId="039F5409" w:rsidR="00151411" w:rsidRPr="00E11FA0" w:rsidRDefault="00151411" w:rsidP="00E11FA0">
      <w:pPr>
        <w:pStyle w:val="Listenabsatz"/>
        <w:numPr>
          <w:ilvl w:val="0"/>
          <w:numId w:val="12"/>
        </w:numPr>
        <w:jc w:val="both"/>
        <w:rPr>
          <w:rFonts w:ascii="Arial" w:hAnsi="Arial" w:cs="Arial"/>
        </w:rPr>
      </w:pPr>
      <w:r w:rsidRPr="008B40F9">
        <w:rPr>
          <w:rFonts w:ascii="Arial" w:hAnsi="Arial" w:cs="Arial"/>
        </w:rPr>
        <w:t xml:space="preserve">Das </w:t>
      </w:r>
      <w:r w:rsidRPr="008B40F9">
        <w:rPr>
          <w:rFonts w:ascii="Arial" w:hAnsi="Arial" w:cs="Arial"/>
          <w:b/>
          <w:bCs/>
        </w:rPr>
        <w:t>Gleichberechtigungsgebot</w:t>
      </w:r>
      <w:r w:rsidRPr="008B40F9">
        <w:rPr>
          <w:rFonts w:ascii="Arial" w:hAnsi="Arial" w:cs="Arial"/>
        </w:rPr>
        <w:t xml:space="preserve"> und der </w:t>
      </w:r>
      <w:r w:rsidRPr="008B40F9">
        <w:rPr>
          <w:rFonts w:ascii="Arial" w:hAnsi="Arial" w:cs="Arial"/>
          <w:b/>
          <w:bCs/>
        </w:rPr>
        <w:t>besondere Diskriminierungs</w:t>
      </w:r>
      <w:r w:rsidR="00E626E5">
        <w:rPr>
          <w:rFonts w:ascii="Arial" w:hAnsi="Arial" w:cs="Arial"/>
          <w:b/>
          <w:bCs/>
        </w:rPr>
        <w:t>-</w:t>
      </w:r>
      <w:r w:rsidRPr="008B40F9">
        <w:rPr>
          <w:rFonts w:ascii="Arial" w:hAnsi="Arial" w:cs="Arial"/>
          <w:b/>
          <w:bCs/>
        </w:rPr>
        <w:t>schutz</w:t>
      </w:r>
      <w:r w:rsidRPr="008B40F9">
        <w:rPr>
          <w:rFonts w:ascii="Arial" w:hAnsi="Arial" w:cs="Arial"/>
        </w:rPr>
        <w:t xml:space="preserve"> nach </w:t>
      </w:r>
      <w:r w:rsidRPr="008B40F9">
        <w:rPr>
          <w:rFonts w:ascii="Arial" w:hAnsi="Arial" w:cs="Arial"/>
          <w:b/>
          <w:bCs/>
        </w:rPr>
        <w:t>Art. 3 Abs. (2) und (3) GG</w:t>
      </w:r>
      <w:r w:rsidRPr="008B40F9">
        <w:rPr>
          <w:rFonts w:ascii="Arial" w:hAnsi="Arial" w:cs="Arial"/>
        </w:rPr>
        <w:t xml:space="preserve"> werden </w:t>
      </w:r>
      <w:r w:rsidRPr="008B40F9">
        <w:rPr>
          <w:rFonts w:ascii="Arial" w:hAnsi="Arial" w:cs="Arial"/>
          <w:b/>
          <w:bCs/>
        </w:rPr>
        <w:t xml:space="preserve">ausgehöhlt, </w:t>
      </w:r>
      <w:r w:rsidRPr="008B40F9">
        <w:rPr>
          <w:rFonts w:ascii="Arial" w:hAnsi="Arial" w:cs="Arial"/>
        </w:rPr>
        <w:t xml:space="preserve">indem </w:t>
      </w:r>
      <w:r w:rsidR="00F00F6C" w:rsidRPr="008B40F9">
        <w:rPr>
          <w:rFonts w:ascii="Arial" w:hAnsi="Arial" w:cs="Arial"/>
        </w:rPr>
        <w:t>sie</w:t>
      </w:r>
      <w:r w:rsidRPr="008B40F9">
        <w:rPr>
          <w:rFonts w:ascii="Arial" w:hAnsi="Arial" w:cs="Arial"/>
        </w:rPr>
        <w:t xml:space="preserve"> auf Männer mit „weiblicher Geschlechtsidentität“ ausgeweitet w</w:t>
      </w:r>
      <w:r w:rsidR="00F00F6C" w:rsidRPr="008B40F9">
        <w:rPr>
          <w:rFonts w:ascii="Arial" w:hAnsi="Arial" w:cs="Arial"/>
        </w:rPr>
        <w:t>erden</w:t>
      </w:r>
      <w:r w:rsidRPr="008B40F9">
        <w:rPr>
          <w:rFonts w:ascii="Arial" w:hAnsi="Arial" w:cs="Arial"/>
        </w:rPr>
        <w:t>.</w:t>
      </w:r>
      <w:r w:rsidR="003D3771" w:rsidRPr="008B40F9">
        <w:rPr>
          <w:rFonts w:ascii="Arial" w:hAnsi="Arial" w:cs="Arial"/>
        </w:rPr>
        <w:t xml:space="preserve"> Als Beispiel mag der </w:t>
      </w:r>
      <w:r w:rsidR="003D3771" w:rsidRPr="008B40F9">
        <w:rPr>
          <w:rFonts w:ascii="Arial" w:hAnsi="Arial" w:cs="Arial"/>
          <w:b/>
          <w:bCs/>
        </w:rPr>
        <w:t>Frauensport</w:t>
      </w:r>
      <w:r w:rsidR="003D3771" w:rsidRPr="008B40F9">
        <w:rPr>
          <w:rFonts w:ascii="Arial" w:hAnsi="Arial" w:cs="Arial"/>
        </w:rPr>
        <w:t xml:space="preserve"> dienen</w:t>
      </w:r>
      <w:r w:rsidR="002C26E6" w:rsidRPr="008B40F9">
        <w:rPr>
          <w:rFonts w:ascii="Arial" w:hAnsi="Arial" w:cs="Arial"/>
        </w:rPr>
        <w:t xml:space="preserve">: Da es im Sport besonders auf die biologische Konstitution ankommt – weswegen Frauen jahrhundertelang vom Sport ausgeschlossen waren – bewirkt die Vermengung von Geschlecht und Geschlechtsidentität eine </w:t>
      </w:r>
      <w:r w:rsidR="002C26E6" w:rsidRPr="008B40F9">
        <w:rPr>
          <w:rFonts w:ascii="Arial" w:hAnsi="Arial" w:cs="Arial"/>
          <w:b/>
          <w:bCs/>
        </w:rPr>
        <w:t>dramatische Wettbewerbsverzerrung</w:t>
      </w:r>
      <w:r w:rsidR="002C26E6" w:rsidRPr="008B40F9">
        <w:rPr>
          <w:rFonts w:ascii="Arial" w:hAnsi="Arial" w:cs="Arial"/>
        </w:rPr>
        <w:t xml:space="preserve"> zulasten von Frauen und letztlich das </w:t>
      </w:r>
      <w:r w:rsidR="002C26E6" w:rsidRPr="008B40F9">
        <w:rPr>
          <w:rFonts w:ascii="Arial" w:hAnsi="Arial" w:cs="Arial"/>
          <w:b/>
          <w:bCs/>
        </w:rPr>
        <w:t>Austrocknen des Frauensports</w:t>
      </w:r>
      <w:r w:rsidR="002C26E6" w:rsidRPr="008B40F9">
        <w:rPr>
          <w:rFonts w:ascii="Arial" w:hAnsi="Arial" w:cs="Arial"/>
        </w:rPr>
        <w:t>.</w:t>
      </w:r>
      <w:r w:rsidR="00E11FA0">
        <w:rPr>
          <w:rFonts w:ascii="Arial" w:hAnsi="Arial" w:cs="Arial"/>
        </w:rPr>
        <w:t xml:space="preserve"> Nach einem Bericht der UN-Sonderberichterstatterin für Gewalt gegen Frauen und Mädchen, </w:t>
      </w:r>
      <w:proofErr w:type="spellStart"/>
      <w:r w:rsidR="00E11FA0">
        <w:rPr>
          <w:rFonts w:ascii="Arial" w:hAnsi="Arial" w:cs="Arial"/>
        </w:rPr>
        <w:t>Reem</w:t>
      </w:r>
      <w:proofErr w:type="spellEnd"/>
      <w:r w:rsidR="00E11FA0">
        <w:rPr>
          <w:rFonts w:ascii="Arial" w:hAnsi="Arial" w:cs="Arial"/>
        </w:rPr>
        <w:t xml:space="preserve"> </w:t>
      </w:r>
      <w:proofErr w:type="spellStart"/>
      <w:r w:rsidR="00E11FA0">
        <w:rPr>
          <w:rFonts w:ascii="Arial" w:hAnsi="Arial" w:cs="Arial"/>
        </w:rPr>
        <w:t>Alsalem</w:t>
      </w:r>
      <w:proofErr w:type="spellEnd"/>
      <w:r w:rsidR="00E11FA0">
        <w:rPr>
          <w:rFonts w:ascii="Arial" w:hAnsi="Arial" w:cs="Arial"/>
        </w:rPr>
        <w:t xml:space="preserve">, </w:t>
      </w:r>
      <w:r w:rsidR="00F843C8">
        <w:rPr>
          <w:rFonts w:ascii="Arial" w:hAnsi="Arial" w:cs="Arial"/>
        </w:rPr>
        <w:t xml:space="preserve">vom 27.08.2024, </w:t>
      </w:r>
      <w:r w:rsidR="00E11FA0">
        <w:rPr>
          <w:rFonts w:ascii="Arial" w:hAnsi="Arial" w:cs="Arial"/>
        </w:rPr>
        <w:t xml:space="preserve">haben </w:t>
      </w:r>
      <w:r w:rsidR="00E11FA0" w:rsidRPr="00E11FA0">
        <w:rPr>
          <w:rFonts w:ascii="Arial" w:hAnsi="Arial" w:cs="Arial"/>
        </w:rPr>
        <w:t>bis zum 30. März 2024 mehr als 600 Sportlerinnen in mehr</w:t>
      </w:r>
      <w:r w:rsidR="00E11FA0">
        <w:rPr>
          <w:rFonts w:ascii="Arial" w:hAnsi="Arial" w:cs="Arial"/>
        </w:rPr>
        <w:t xml:space="preserve"> </w:t>
      </w:r>
      <w:r w:rsidR="00E11FA0" w:rsidRPr="00E11FA0">
        <w:rPr>
          <w:rFonts w:ascii="Arial" w:hAnsi="Arial" w:cs="Arial"/>
        </w:rPr>
        <w:t>als 400 Wettbewerben mehr als 890 Medaillen in 29 verschiedenen Sportarten verloren</w:t>
      </w:r>
      <w:r w:rsidR="00E11FA0">
        <w:rPr>
          <w:rFonts w:ascii="Arial" w:hAnsi="Arial" w:cs="Arial"/>
        </w:rPr>
        <w:t>.</w:t>
      </w:r>
      <w:r w:rsidR="00E11FA0">
        <w:rPr>
          <w:rStyle w:val="Funotenzeichen"/>
          <w:rFonts w:ascii="Arial" w:hAnsi="Arial" w:cs="Arial"/>
        </w:rPr>
        <w:footnoteReference w:id="3"/>
      </w:r>
      <w:r w:rsidR="00175784" w:rsidRPr="00E11FA0">
        <w:rPr>
          <w:rFonts w:ascii="Arial" w:hAnsi="Arial" w:cs="Arial"/>
        </w:rPr>
        <w:tab/>
      </w:r>
    </w:p>
    <w:p w14:paraId="6E4DE1CD" w14:textId="77777777" w:rsidR="00E11FA0" w:rsidRDefault="00E11FA0" w:rsidP="00E11FA0">
      <w:pPr>
        <w:pStyle w:val="Listenabsatz"/>
        <w:ind w:left="1428"/>
        <w:jc w:val="both"/>
        <w:rPr>
          <w:rFonts w:ascii="Arial" w:hAnsi="Arial" w:cs="Arial"/>
        </w:rPr>
      </w:pPr>
    </w:p>
    <w:p w14:paraId="5C69EA77" w14:textId="77777777" w:rsidR="00F843C8" w:rsidRDefault="00F843C8" w:rsidP="00E11FA0">
      <w:pPr>
        <w:pStyle w:val="Listenabsatz"/>
        <w:ind w:left="1428"/>
        <w:jc w:val="both"/>
        <w:rPr>
          <w:rFonts w:ascii="Arial" w:hAnsi="Arial" w:cs="Arial"/>
        </w:rPr>
      </w:pPr>
    </w:p>
    <w:p w14:paraId="275B694A" w14:textId="77777777" w:rsidR="006814EB" w:rsidRDefault="006814EB" w:rsidP="00E11FA0">
      <w:pPr>
        <w:pStyle w:val="Listenabsatz"/>
        <w:ind w:left="1428"/>
        <w:jc w:val="both"/>
        <w:rPr>
          <w:rFonts w:ascii="Arial" w:hAnsi="Arial" w:cs="Arial"/>
        </w:rPr>
      </w:pPr>
    </w:p>
    <w:p w14:paraId="39695B87" w14:textId="77777777" w:rsidR="006814EB" w:rsidRDefault="006814EB" w:rsidP="00E11FA0">
      <w:pPr>
        <w:pStyle w:val="Listenabsatz"/>
        <w:ind w:left="1428"/>
        <w:jc w:val="both"/>
        <w:rPr>
          <w:rFonts w:ascii="Arial" w:hAnsi="Arial" w:cs="Arial"/>
        </w:rPr>
      </w:pPr>
    </w:p>
    <w:p w14:paraId="5CF1107D" w14:textId="77777777" w:rsidR="00F843C8" w:rsidRPr="008B40F9" w:rsidRDefault="00F843C8" w:rsidP="00E11FA0">
      <w:pPr>
        <w:pStyle w:val="Listenabsatz"/>
        <w:ind w:left="1428"/>
        <w:jc w:val="both"/>
        <w:rPr>
          <w:rFonts w:ascii="Arial" w:hAnsi="Arial" w:cs="Arial"/>
        </w:rPr>
      </w:pPr>
    </w:p>
    <w:p w14:paraId="049EE542" w14:textId="10841A35" w:rsidR="00151411" w:rsidRPr="008B40F9" w:rsidRDefault="00595B36" w:rsidP="0034038C">
      <w:pPr>
        <w:pStyle w:val="Listenabsatz"/>
        <w:numPr>
          <w:ilvl w:val="0"/>
          <w:numId w:val="14"/>
        </w:numPr>
        <w:jc w:val="both"/>
        <w:rPr>
          <w:rFonts w:ascii="Arial" w:hAnsi="Arial" w:cs="Arial"/>
          <w:b/>
          <w:bCs/>
        </w:rPr>
      </w:pPr>
      <w:r w:rsidRPr="008B40F9">
        <w:rPr>
          <w:rFonts w:ascii="Arial" w:hAnsi="Arial" w:cs="Arial"/>
          <w:b/>
          <w:bCs/>
        </w:rPr>
        <w:lastRenderedPageBreak/>
        <w:t xml:space="preserve">Meinungsfreiheit </w:t>
      </w:r>
      <w:r w:rsidRPr="008B40F9">
        <w:rPr>
          <w:rFonts w:ascii="Arial" w:hAnsi="Arial" w:cs="Arial"/>
        </w:rPr>
        <w:t>vs.</w:t>
      </w:r>
      <w:r w:rsidRPr="008B40F9">
        <w:rPr>
          <w:rFonts w:ascii="Arial" w:hAnsi="Arial" w:cs="Arial"/>
          <w:b/>
          <w:bCs/>
        </w:rPr>
        <w:t xml:space="preserve"> </w:t>
      </w:r>
      <w:r w:rsidR="00151411" w:rsidRPr="008B40F9">
        <w:rPr>
          <w:rFonts w:ascii="Arial" w:hAnsi="Arial" w:cs="Arial"/>
          <w:b/>
          <w:bCs/>
        </w:rPr>
        <w:t>Sanktionsbewehrtes Offenbarungsverbot</w:t>
      </w:r>
    </w:p>
    <w:p w14:paraId="6838469A" w14:textId="77777777" w:rsidR="004A2FA6" w:rsidRPr="008B40F9" w:rsidRDefault="004A2FA6" w:rsidP="004A2FA6">
      <w:pPr>
        <w:pStyle w:val="Listenabsatz"/>
        <w:jc w:val="both"/>
        <w:rPr>
          <w:rFonts w:ascii="Arial" w:hAnsi="Arial" w:cs="Arial"/>
          <w:b/>
          <w:bCs/>
        </w:rPr>
      </w:pPr>
    </w:p>
    <w:p w14:paraId="5ECDD497" w14:textId="77777777" w:rsidR="00151411" w:rsidRPr="008B40F9" w:rsidRDefault="00151411" w:rsidP="007E6ADC">
      <w:pPr>
        <w:pStyle w:val="Listenabsatz"/>
        <w:numPr>
          <w:ilvl w:val="0"/>
          <w:numId w:val="17"/>
        </w:numPr>
        <w:jc w:val="both"/>
        <w:rPr>
          <w:rFonts w:ascii="Arial" w:hAnsi="Arial" w:cs="Arial"/>
        </w:rPr>
      </w:pPr>
      <w:r w:rsidRPr="008B40F9">
        <w:rPr>
          <w:rFonts w:ascii="Arial" w:hAnsi="Arial" w:cs="Arial"/>
          <w:b/>
          <w:bCs/>
        </w:rPr>
        <w:t>Meinungs- und Pressefreiheit</w:t>
      </w:r>
      <w:r w:rsidRPr="008B40F9">
        <w:rPr>
          <w:rFonts w:ascii="Arial" w:hAnsi="Arial" w:cs="Arial"/>
        </w:rPr>
        <w:t xml:space="preserve"> </w:t>
      </w:r>
      <w:r w:rsidRPr="008B40F9">
        <w:rPr>
          <w:rFonts w:ascii="Arial" w:hAnsi="Arial" w:cs="Arial"/>
          <w:b/>
          <w:bCs/>
        </w:rPr>
        <w:t>(Art. 5 Abs. (1) Satz 1 und 2 GG)</w:t>
      </w:r>
      <w:r w:rsidRPr="008B40F9">
        <w:rPr>
          <w:rFonts w:ascii="Arial" w:hAnsi="Arial" w:cs="Arial"/>
        </w:rPr>
        <w:t xml:space="preserve"> werden unverhältnismäßig beschnitten. </w:t>
      </w:r>
    </w:p>
    <w:p w14:paraId="4D7F963D" w14:textId="485CFFE9" w:rsidR="00151411" w:rsidRPr="00E4644E" w:rsidRDefault="00B7135D" w:rsidP="00E4644E">
      <w:pPr>
        <w:pStyle w:val="Listenabsatz"/>
        <w:numPr>
          <w:ilvl w:val="0"/>
          <w:numId w:val="17"/>
        </w:numPr>
        <w:jc w:val="both"/>
        <w:rPr>
          <w:rFonts w:ascii="Arial" w:hAnsi="Arial" w:cs="Arial"/>
        </w:rPr>
      </w:pPr>
      <w:r w:rsidRPr="00E4644E">
        <w:rPr>
          <w:rFonts w:ascii="Arial" w:hAnsi="Arial" w:cs="Arial"/>
        </w:rPr>
        <w:t xml:space="preserve">Unklar ist, ob </w:t>
      </w:r>
      <w:r w:rsidR="00E4644E" w:rsidRPr="00E4644E">
        <w:rPr>
          <w:rFonts w:ascii="Arial" w:hAnsi="Arial" w:cs="Arial"/>
        </w:rPr>
        <w:t xml:space="preserve">Frauen, die einem Mann </w:t>
      </w:r>
      <w:r w:rsidR="00452098">
        <w:rPr>
          <w:rFonts w:ascii="Arial" w:hAnsi="Arial" w:cs="Arial"/>
        </w:rPr>
        <w:t xml:space="preserve">mit „weiblicher Geschlechtsidentität“ </w:t>
      </w:r>
      <w:r w:rsidR="00E4644E" w:rsidRPr="00E4644E">
        <w:rPr>
          <w:rFonts w:ascii="Arial" w:hAnsi="Arial" w:cs="Arial"/>
        </w:rPr>
        <w:t xml:space="preserve">den </w:t>
      </w:r>
      <w:r w:rsidRPr="00E4644E">
        <w:rPr>
          <w:rFonts w:ascii="Arial" w:hAnsi="Arial" w:cs="Arial"/>
        </w:rPr>
        <w:t xml:space="preserve">Einlass in Frauenräume (z.B. Fitnesscenter) </w:t>
      </w:r>
      <w:r w:rsidR="00E4644E" w:rsidRPr="00E4644E">
        <w:rPr>
          <w:rFonts w:ascii="Arial" w:hAnsi="Arial" w:cs="Arial"/>
        </w:rPr>
        <w:t xml:space="preserve">verweigern, weil er </w:t>
      </w:r>
      <w:r w:rsidR="00E4644E">
        <w:rPr>
          <w:rFonts w:ascii="Arial" w:hAnsi="Arial" w:cs="Arial"/>
        </w:rPr>
        <w:t xml:space="preserve">sichtbare </w:t>
      </w:r>
      <w:r w:rsidR="00E4644E" w:rsidRPr="00E4644E">
        <w:rPr>
          <w:rFonts w:ascii="Arial" w:hAnsi="Arial" w:cs="Arial"/>
        </w:rPr>
        <w:t>männliche Geschlechtsmerkmale aufweist, Adressatinnen des Offenbarungsverbots sind.</w:t>
      </w:r>
      <w:r w:rsidR="00E4644E">
        <w:rPr>
          <w:rFonts w:ascii="Arial" w:hAnsi="Arial" w:cs="Arial"/>
          <w:b/>
          <w:bCs/>
        </w:rPr>
        <w:t xml:space="preserve"> T</w:t>
      </w:r>
      <w:r w:rsidR="00151411" w:rsidRPr="008B40F9">
        <w:rPr>
          <w:rFonts w:ascii="Arial" w:hAnsi="Arial" w:cs="Arial"/>
          <w:b/>
          <w:bCs/>
        </w:rPr>
        <w:t>atbestandliche Unklarheiten bei offenkundigem Augenschein</w:t>
      </w:r>
      <w:r w:rsidR="00151411" w:rsidRPr="008B40F9">
        <w:rPr>
          <w:rFonts w:ascii="Arial" w:hAnsi="Arial" w:cs="Arial"/>
        </w:rPr>
        <w:t xml:space="preserve"> (Hausrecht, Meinungsäußerung) </w:t>
      </w:r>
      <w:r w:rsidR="00E4644E">
        <w:rPr>
          <w:rFonts w:ascii="Arial" w:hAnsi="Arial" w:cs="Arial"/>
        </w:rPr>
        <w:t xml:space="preserve">verstoßen </w:t>
      </w:r>
      <w:r w:rsidR="00151411" w:rsidRPr="00E4644E">
        <w:rPr>
          <w:rFonts w:ascii="Arial" w:hAnsi="Arial" w:cs="Arial"/>
        </w:rPr>
        <w:t xml:space="preserve">gegen die </w:t>
      </w:r>
      <w:r w:rsidR="00151411" w:rsidRPr="00E4644E">
        <w:rPr>
          <w:rFonts w:ascii="Arial" w:hAnsi="Arial" w:cs="Arial"/>
          <w:b/>
          <w:bCs/>
        </w:rPr>
        <w:t xml:space="preserve">rechtsstaatlichen Prinzipien der Normenwahrheit und Normenklarheit </w:t>
      </w:r>
      <w:r w:rsidR="00151411" w:rsidRPr="00E4644E">
        <w:rPr>
          <w:rFonts w:ascii="Arial" w:hAnsi="Arial" w:cs="Arial"/>
        </w:rPr>
        <w:t>und, da sie besonders zu Lasten der Frauen gehen, gegen Art. 3 Abs. (2), Abs. (3) und Art. 5 Abs. (1) GG.</w:t>
      </w:r>
    </w:p>
    <w:p w14:paraId="32B386B7" w14:textId="77777777" w:rsidR="00151411" w:rsidRPr="008B40F9" w:rsidRDefault="00151411" w:rsidP="007E6ADC">
      <w:pPr>
        <w:pStyle w:val="Listenabsatz"/>
        <w:numPr>
          <w:ilvl w:val="0"/>
          <w:numId w:val="17"/>
        </w:numPr>
        <w:jc w:val="both"/>
        <w:rPr>
          <w:rFonts w:ascii="Arial" w:hAnsi="Arial" w:cs="Arial"/>
        </w:rPr>
      </w:pPr>
      <w:r w:rsidRPr="008B40F9">
        <w:rPr>
          <w:rFonts w:ascii="Arial" w:hAnsi="Arial" w:cs="Arial"/>
        </w:rPr>
        <w:t>Der „</w:t>
      </w:r>
      <w:proofErr w:type="spellStart"/>
      <w:r w:rsidRPr="008B40F9">
        <w:rPr>
          <w:rFonts w:ascii="Arial" w:hAnsi="Arial" w:cs="Arial"/>
          <w:b/>
          <w:bCs/>
        </w:rPr>
        <w:t>Chilling</w:t>
      </w:r>
      <w:proofErr w:type="spellEnd"/>
      <w:r w:rsidRPr="008B40F9">
        <w:rPr>
          <w:rFonts w:ascii="Arial" w:hAnsi="Arial" w:cs="Arial"/>
          <w:b/>
          <w:bCs/>
        </w:rPr>
        <w:t>-Effekt</w:t>
      </w:r>
      <w:r w:rsidRPr="008B40F9">
        <w:rPr>
          <w:rFonts w:ascii="Arial" w:hAnsi="Arial" w:cs="Arial"/>
        </w:rPr>
        <w:t xml:space="preserve">“ (Abschreckungseffekt) der staatlichen Maßnahme einer hohen Bußgeldbewehrung führt zu Selbstzensur, Einschüchterung und zu konformistischem Verhalten. Diese ist mit Art. 5 Abs. (1) GG nicht vereinbar, weil sie einen </w:t>
      </w:r>
      <w:r w:rsidRPr="008B40F9">
        <w:rPr>
          <w:rFonts w:ascii="Arial" w:hAnsi="Arial" w:cs="Arial"/>
          <w:b/>
          <w:bCs/>
        </w:rPr>
        <w:t>Angriff auf die Demokratie</w:t>
      </w:r>
      <w:r w:rsidRPr="008B40F9">
        <w:rPr>
          <w:rFonts w:ascii="Arial" w:hAnsi="Arial" w:cs="Arial"/>
        </w:rPr>
        <w:t xml:space="preserve"> darstellt.</w:t>
      </w:r>
    </w:p>
    <w:p w14:paraId="0DF5B79E" w14:textId="1E9AD26E" w:rsidR="00D770BC" w:rsidRDefault="00D770BC" w:rsidP="00D770BC">
      <w:pPr>
        <w:pStyle w:val="Listenabsatz"/>
        <w:numPr>
          <w:ilvl w:val="0"/>
          <w:numId w:val="17"/>
        </w:numPr>
        <w:jc w:val="both"/>
        <w:rPr>
          <w:rFonts w:ascii="Arial" w:hAnsi="Arial" w:cs="Arial"/>
        </w:rPr>
      </w:pPr>
      <w:r>
        <w:rPr>
          <w:rFonts w:ascii="Arial" w:hAnsi="Arial" w:cs="Arial"/>
        </w:rPr>
        <w:t>D</w:t>
      </w:r>
      <w:r w:rsidRPr="00D770BC">
        <w:rPr>
          <w:rFonts w:ascii="Arial" w:hAnsi="Arial" w:cs="Arial"/>
        </w:rPr>
        <w:t>urch den Änderungsantrag der im Familienausschusses vertretenen Ampelparteien (Ausschuss-</w:t>
      </w:r>
      <w:proofErr w:type="spellStart"/>
      <w:r w:rsidRPr="00D770BC">
        <w:rPr>
          <w:rFonts w:ascii="Arial" w:hAnsi="Arial" w:cs="Arial"/>
        </w:rPr>
        <w:t>Drs</w:t>
      </w:r>
      <w:proofErr w:type="spellEnd"/>
      <w:r w:rsidRPr="00D770BC">
        <w:rPr>
          <w:rFonts w:ascii="Arial" w:hAnsi="Arial" w:cs="Arial"/>
        </w:rPr>
        <w:t xml:space="preserve">. 20(13)105) </w:t>
      </w:r>
      <w:r>
        <w:rPr>
          <w:rFonts w:ascii="Arial" w:hAnsi="Arial" w:cs="Arial"/>
        </w:rPr>
        <w:t>wurde</w:t>
      </w:r>
      <w:r w:rsidR="00FF52F8">
        <w:rPr>
          <w:rFonts w:ascii="Arial" w:hAnsi="Arial" w:cs="Arial"/>
        </w:rPr>
        <w:t>n</w:t>
      </w:r>
      <w:r>
        <w:rPr>
          <w:rFonts w:ascii="Arial" w:hAnsi="Arial" w:cs="Arial"/>
        </w:rPr>
        <w:t xml:space="preserve"> </w:t>
      </w:r>
      <w:r w:rsidRPr="00D770BC">
        <w:rPr>
          <w:rFonts w:ascii="Arial" w:hAnsi="Arial" w:cs="Arial"/>
        </w:rPr>
        <w:t xml:space="preserve">Abruf sowie Austausch der nach dem Geschlechtseintragswechsel geänderten Daten </w:t>
      </w:r>
      <w:r>
        <w:rPr>
          <w:rFonts w:ascii="Arial" w:hAnsi="Arial" w:cs="Arial"/>
        </w:rPr>
        <w:t xml:space="preserve">von bzw. </w:t>
      </w:r>
      <w:r w:rsidRPr="00D770BC">
        <w:rPr>
          <w:rFonts w:ascii="Arial" w:hAnsi="Arial" w:cs="Arial"/>
        </w:rPr>
        <w:t xml:space="preserve">zwischen </w:t>
      </w:r>
      <w:r w:rsidR="00FF52F8">
        <w:rPr>
          <w:rFonts w:ascii="Arial" w:hAnsi="Arial" w:cs="Arial"/>
        </w:rPr>
        <w:t>Sicherheitsb</w:t>
      </w:r>
      <w:r w:rsidRPr="00D770BC">
        <w:rPr>
          <w:rFonts w:ascii="Arial" w:hAnsi="Arial" w:cs="Arial"/>
        </w:rPr>
        <w:t>ehörden</w:t>
      </w:r>
      <w:r>
        <w:rPr>
          <w:rFonts w:ascii="Arial" w:hAnsi="Arial" w:cs="Arial"/>
        </w:rPr>
        <w:t xml:space="preserve"> verhindert und damit</w:t>
      </w:r>
      <w:r w:rsidR="00FF52F8">
        <w:rPr>
          <w:rFonts w:ascii="Arial" w:hAnsi="Arial" w:cs="Arial"/>
        </w:rPr>
        <w:t xml:space="preserve"> der</w:t>
      </w:r>
      <w:r>
        <w:rPr>
          <w:rFonts w:ascii="Arial" w:hAnsi="Arial" w:cs="Arial"/>
        </w:rPr>
        <w:t xml:space="preserve"> </w:t>
      </w:r>
      <w:r w:rsidR="00F843C8" w:rsidRPr="00D770BC">
        <w:rPr>
          <w:rFonts w:ascii="Arial" w:hAnsi="Arial" w:cs="Arial"/>
          <w:b/>
          <w:bCs/>
        </w:rPr>
        <w:t>Missbrauch durch Identitätsverschleierung</w:t>
      </w:r>
      <w:r w:rsidR="00F843C8" w:rsidRPr="00D770BC">
        <w:rPr>
          <w:rFonts w:ascii="Arial" w:hAnsi="Arial" w:cs="Arial"/>
        </w:rPr>
        <w:t xml:space="preserve"> </w:t>
      </w:r>
      <w:r>
        <w:rPr>
          <w:rFonts w:ascii="Arial" w:hAnsi="Arial" w:cs="Arial"/>
        </w:rPr>
        <w:t>möglich gemacht.</w:t>
      </w:r>
    </w:p>
    <w:p w14:paraId="3F5AE5BD" w14:textId="650CA6FA" w:rsidR="001241AB" w:rsidRPr="00D770BC" w:rsidRDefault="001241AB" w:rsidP="00D770BC">
      <w:pPr>
        <w:ind w:left="348"/>
        <w:jc w:val="both"/>
        <w:rPr>
          <w:rFonts w:ascii="Arial" w:hAnsi="Arial" w:cs="Arial"/>
        </w:rPr>
      </w:pPr>
      <w:r w:rsidRPr="00D770BC">
        <w:rPr>
          <w:rFonts w:ascii="Arial" w:hAnsi="Arial" w:cs="Arial"/>
        </w:rPr>
        <w:t xml:space="preserve">Um Art. 3 Abs. (2) GG eine maximale Wirkung zu verschaffen, wäre es erforderlich, die </w:t>
      </w:r>
      <w:r w:rsidRPr="00D770BC">
        <w:rPr>
          <w:rFonts w:ascii="Arial" w:hAnsi="Arial" w:cs="Arial"/>
          <w:b/>
          <w:bCs/>
        </w:rPr>
        <w:t>Validität des Geschlechtseintrags zum Schutz von Frauen und Mädchen</w:t>
      </w:r>
      <w:r w:rsidRPr="00D770BC">
        <w:rPr>
          <w:rFonts w:ascii="Arial" w:hAnsi="Arial" w:cs="Arial"/>
        </w:rPr>
        <w:t xml:space="preserve"> durch Beibehaltung des rechtsgestaltenden </w:t>
      </w:r>
      <w:r w:rsidR="00D770BC">
        <w:rPr>
          <w:rFonts w:ascii="Arial" w:hAnsi="Arial" w:cs="Arial"/>
        </w:rPr>
        <w:t>Gerichtsv</w:t>
      </w:r>
      <w:r w:rsidRPr="00D770BC">
        <w:rPr>
          <w:rFonts w:ascii="Arial" w:hAnsi="Arial" w:cs="Arial"/>
        </w:rPr>
        <w:t>erfahrens</w:t>
      </w:r>
      <w:r w:rsidR="00D770BC">
        <w:rPr>
          <w:rFonts w:ascii="Arial" w:hAnsi="Arial" w:cs="Arial"/>
        </w:rPr>
        <w:t xml:space="preserve"> samt Gutachten durch unabhängige Sachverständige (vgl. </w:t>
      </w:r>
      <w:r w:rsidRPr="00D770BC">
        <w:rPr>
          <w:rFonts w:ascii="Arial" w:hAnsi="Arial" w:cs="Arial"/>
        </w:rPr>
        <w:t>§ 4 Abs. 3 TSG</w:t>
      </w:r>
      <w:r w:rsidR="00D770BC">
        <w:rPr>
          <w:rFonts w:ascii="Arial" w:hAnsi="Arial" w:cs="Arial"/>
        </w:rPr>
        <w:t>)</w:t>
      </w:r>
      <w:r w:rsidRPr="00D770BC">
        <w:rPr>
          <w:rFonts w:ascii="Arial" w:hAnsi="Arial" w:cs="Arial"/>
        </w:rPr>
        <w:t xml:space="preserve"> aufrechtzuerhalten und garantierte und angemessene Ausnahmeregelungen für Frauen zur Gewährleistung von</w:t>
      </w:r>
      <w:r w:rsidR="001243B8" w:rsidRPr="00D770BC">
        <w:rPr>
          <w:rFonts w:ascii="Arial" w:hAnsi="Arial" w:cs="Arial"/>
        </w:rPr>
        <w:t xml:space="preserve"> </w:t>
      </w:r>
      <w:r w:rsidRPr="00D770BC">
        <w:rPr>
          <w:rFonts w:ascii="Arial" w:hAnsi="Arial" w:cs="Arial"/>
        </w:rPr>
        <w:t xml:space="preserve">autonomen </w:t>
      </w:r>
      <w:r w:rsidR="00D770BC">
        <w:rPr>
          <w:rFonts w:ascii="Arial" w:hAnsi="Arial" w:cs="Arial"/>
        </w:rPr>
        <w:t xml:space="preserve">Räumen </w:t>
      </w:r>
      <w:r w:rsidRPr="00D770BC">
        <w:rPr>
          <w:rFonts w:ascii="Arial" w:hAnsi="Arial" w:cs="Arial"/>
        </w:rPr>
        <w:t>und Schutzräumen, zur beruflichen Förderung und zur gesellschaftlichen Teilhabe zu schaffen.</w:t>
      </w:r>
      <w:r w:rsidR="001243B8" w:rsidRPr="008B40F9">
        <w:rPr>
          <w:rStyle w:val="Funotenzeichen"/>
          <w:rFonts w:ascii="Arial" w:hAnsi="Arial" w:cs="Arial"/>
        </w:rPr>
        <w:footnoteReference w:id="4"/>
      </w:r>
    </w:p>
    <w:p w14:paraId="231047E9" w14:textId="5FBDB59E" w:rsidR="004A2FA6" w:rsidRPr="008B40F9" w:rsidRDefault="006814EB" w:rsidP="002F574E">
      <w:pPr>
        <w:jc w:val="both"/>
        <w:rPr>
          <w:rStyle w:val="Internetverknpfung"/>
          <w:rFonts w:ascii="Arial" w:hAnsi="Arial" w:cs="Arial"/>
          <w:b/>
          <w:bCs/>
          <w:color w:val="auto"/>
          <w:u w:val="none"/>
        </w:rPr>
      </w:pPr>
      <w:r>
        <w:rPr>
          <w:rStyle w:val="Internetverknpfung"/>
          <w:rFonts w:ascii="Arial" w:hAnsi="Arial" w:cs="Arial"/>
          <w:b/>
          <w:bCs/>
          <w:color w:val="auto"/>
          <w:u w:val="none"/>
        </w:rPr>
        <w:br/>
      </w:r>
      <w:r w:rsidR="002F574E" w:rsidRPr="008B40F9">
        <w:rPr>
          <w:rStyle w:val="Internetverknpfung"/>
          <w:rFonts w:ascii="Arial" w:hAnsi="Arial" w:cs="Arial"/>
          <w:b/>
          <w:bCs/>
          <w:color w:val="auto"/>
          <w:u w:val="none"/>
        </w:rPr>
        <w:t>(3) Kostenübernahme geschlechtsangleichender Eingriffe durch die GKV</w:t>
      </w:r>
    </w:p>
    <w:p w14:paraId="287F7C39" w14:textId="77777777" w:rsidR="006814EB" w:rsidRDefault="00452098" w:rsidP="004A2FA6">
      <w:pPr>
        <w:jc w:val="both"/>
        <w:rPr>
          <w:rStyle w:val="Internetverknpfung"/>
          <w:rFonts w:ascii="Arial" w:hAnsi="Arial" w:cs="Arial"/>
          <w:color w:val="auto"/>
          <w:u w:val="none"/>
        </w:rPr>
      </w:pPr>
      <w:r>
        <w:rPr>
          <w:rStyle w:val="Internetverknpfung"/>
          <w:rFonts w:ascii="Arial" w:hAnsi="Arial" w:cs="Arial"/>
          <w:color w:val="auto"/>
          <w:u w:val="none"/>
        </w:rPr>
        <w:t xml:space="preserve">Die Pläne der </w:t>
      </w:r>
      <w:r w:rsidRPr="008B40F9">
        <w:rPr>
          <w:rStyle w:val="Internetverknpfung"/>
          <w:rFonts w:ascii="Arial" w:hAnsi="Arial" w:cs="Arial"/>
          <w:color w:val="auto"/>
          <w:u w:val="none"/>
        </w:rPr>
        <w:t>Bundestagsfraktion B90/Die Grünen</w:t>
      </w:r>
      <w:r>
        <w:rPr>
          <w:rStyle w:val="Internetverknpfung"/>
          <w:rFonts w:ascii="Arial" w:hAnsi="Arial" w:cs="Arial"/>
          <w:color w:val="auto"/>
          <w:u w:val="none"/>
        </w:rPr>
        <w:t>, eine</w:t>
      </w:r>
      <w:r w:rsidR="00434FDE" w:rsidRPr="008B40F9">
        <w:rPr>
          <w:rStyle w:val="Internetverknpfung"/>
          <w:rFonts w:ascii="Arial" w:hAnsi="Arial" w:cs="Arial"/>
          <w:color w:val="auto"/>
          <w:u w:val="none"/>
        </w:rPr>
        <w:t xml:space="preserve"> Sozialisierung der Kosten </w:t>
      </w:r>
      <w:r w:rsidR="00D770BC" w:rsidRPr="008B40F9">
        <w:rPr>
          <w:rStyle w:val="Internetverknpfung"/>
          <w:rFonts w:ascii="Arial" w:hAnsi="Arial" w:cs="Arial"/>
          <w:color w:val="auto"/>
          <w:u w:val="none"/>
        </w:rPr>
        <w:t>geschlechtsangleichender operativer und kosmetischer Eingriffe</w:t>
      </w:r>
      <w:r w:rsidR="00D770BC">
        <w:rPr>
          <w:rStyle w:val="Internetverknpfung"/>
          <w:rFonts w:ascii="Arial" w:hAnsi="Arial" w:cs="Arial"/>
          <w:color w:val="auto"/>
          <w:u w:val="none"/>
        </w:rPr>
        <w:t xml:space="preserve"> durch die GKV </w:t>
      </w:r>
      <w:r>
        <w:rPr>
          <w:rStyle w:val="Internetverknpfung"/>
          <w:rFonts w:ascii="Arial" w:hAnsi="Arial" w:cs="Arial"/>
          <w:color w:val="auto"/>
          <w:u w:val="none"/>
        </w:rPr>
        <w:t>(analog</w:t>
      </w:r>
      <w:r w:rsidR="00FF52F8" w:rsidRPr="008B40F9">
        <w:rPr>
          <w:rStyle w:val="Internetverknpfung"/>
          <w:rFonts w:ascii="Arial" w:hAnsi="Arial" w:cs="Arial"/>
          <w:color w:val="auto"/>
          <w:u w:val="none"/>
        </w:rPr>
        <w:t xml:space="preserve"> dem in § 27a SGB V (Kinderwunsch)</w:t>
      </w:r>
      <w:r w:rsidR="00FF52F8">
        <w:rPr>
          <w:rStyle w:val="Internetverknpfung"/>
          <w:rFonts w:ascii="Arial" w:hAnsi="Arial" w:cs="Arial"/>
          <w:color w:val="auto"/>
          <w:u w:val="none"/>
        </w:rPr>
        <w:t xml:space="preserve"> genannten Fall)</w:t>
      </w:r>
      <w:r>
        <w:rPr>
          <w:rStyle w:val="Internetverknpfung"/>
          <w:rFonts w:ascii="Arial" w:hAnsi="Arial" w:cs="Arial"/>
          <w:color w:val="auto"/>
          <w:u w:val="none"/>
        </w:rPr>
        <w:t xml:space="preserve"> herbeizuführen,</w:t>
      </w:r>
      <w:r w:rsidR="00FF52F8" w:rsidRPr="008B40F9">
        <w:rPr>
          <w:rStyle w:val="Internetverknpfung"/>
          <w:rFonts w:ascii="Arial" w:hAnsi="Arial" w:cs="Arial"/>
          <w:color w:val="auto"/>
          <w:u w:val="none"/>
        </w:rPr>
        <w:t xml:space="preserve"> </w:t>
      </w:r>
      <w:r w:rsidR="00434FDE" w:rsidRPr="008B40F9">
        <w:rPr>
          <w:rStyle w:val="Internetverknpfung"/>
          <w:rFonts w:ascii="Arial" w:hAnsi="Arial" w:cs="Arial"/>
          <w:color w:val="auto"/>
          <w:u w:val="none"/>
        </w:rPr>
        <w:t>sind strikt abzulehnen</w:t>
      </w:r>
      <w:r>
        <w:rPr>
          <w:rStyle w:val="Internetverknpfung"/>
          <w:rFonts w:ascii="Arial" w:hAnsi="Arial" w:cs="Arial"/>
          <w:color w:val="auto"/>
          <w:u w:val="none"/>
        </w:rPr>
        <w:t>. E</w:t>
      </w:r>
      <w:r w:rsidR="00546C0F" w:rsidRPr="008B40F9">
        <w:rPr>
          <w:rStyle w:val="Internetverknpfung"/>
          <w:rFonts w:ascii="Arial" w:hAnsi="Arial" w:cs="Arial"/>
          <w:color w:val="auto"/>
          <w:u w:val="none"/>
        </w:rPr>
        <w:t>ine Kostenübernahme</w:t>
      </w:r>
      <w:r w:rsidR="00434FDE" w:rsidRPr="008B40F9">
        <w:rPr>
          <w:rStyle w:val="Internetverknpfung"/>
          <w:rFonts w:ascii="Arial" w:hAnsi="Arial" w:cs="Arial"/>
          <w:color w:val="auto"/>
          <w:u w:val="none"/>
        </w:rPr>
        <w:t xml:space="preserve"> </w:t>
      </w:r>
      <w:r w:rsidR="002F574E" w:rsidRPr="008B40F9">
        <w:rPr>
          <w:rStyle w:val="Internetverknpfung"/>
          <w:rFonts w:ascii="Arial" w:hAnsi="Arial" w:cs="Arial"/>
          <w:color w:val="auto"/>
          <w:u w:val="none"/>
        </w:rPr>
        <w:t xml:space="preserve">sollte nur im Falle eines wieder eingeführten rechtsgestaltenden Verfahrens (unabhängige Gutachten, gerichtliche Entscheidung) bewilligt werden. </w:t>
      </w:r>
    </w:p>
    <w:p w14:paraId="46369A77" w14:textId="09FC83B8" w:rsidR="00DF61E8" w:rsidRPr="006814EB" w:rsidRDefault="00DF61E8" w:rsidP="004A2FA6">
      <w:pPr>
        <w:jc w:val="both"/>
        <w:rPr>
          <w:rStyle w:val="Internetverknpfung"/>
          <w:rFonts w:ascii="Arial" w:hAnsi="Arial" w:cs="Arial"/>
          <w:b/>
          <w:bCs/>
          <w:color w:val="auto"/>
          <w:u w:val="none"/>
        </w:rPr>
      </w:pPr>
    </w:p>
    <w:p w14:paraId="7E601806" w14:textId="12678B47" w:rsidR="00151411" w:rsidRDefault="00D705DB" w:rsidP="004A2FA6">
      <w:pPr>
        <w:jc w:val="both"/>
        <w:rPr>
          <w:rStyle w:val="Internetverknpfung"/>
          <w:rFonts w:ascii="Arial" w:hAnsi="Arial" w:cs="Arial"/>
          <w:color w:val="auto"/>
          <w:u w:val="none"/>
        </w:rPr>
      </w:pPr>
      <w:r w:rsidRPr="008B40F9">
        <w:rPr>
          <w:rStyle w:val="Internetverknpfung"/>
          <w:rFonts w:ascii="Arial" w:hAnsi="Arial" w:cs="Arial"/>
          <w:color w:val="auto"/>
          <w:u w:val="none"/>
        </w:rPr>
        <w:t>Mit freundlichen Grüßen</w:t>
      </w:r>
    </w:p>
    <w:p w14:paraId="2956EA80" w14:textId="77777777" w:rsidR="00E626E5" w:rsidRDefault="00E626E5" w:rsidP="004A2FA6">
      <w:pPr>
        <w:jc w:val="both"/>
        <w:rPr>
          <w:rStyle w:val="Internetverknpfung"/>
          <w:rFonts w:ascii="Arial" w:hAnsi="Arial" w:cs="Arial"/>
          <w:color w:val="auto"/>
          <w:u w:val="none"/>
        </w:rPr>
      </w:pPr>
      <w:bookmarkStart w:id="0" w:name="_GoBack"/>
      <w:bookmarkEnd w:id="0"/>
    </w:p>
    <w:p w14:paraId="7924A2B9" w14:textId="52F43573" w:rsidR="00B7009C" w:rsidRDefault="00B7009C" w:rsidP="004A2FA6">
      <w:pPr>
        <w:jc w:val="both"/>
        <w:rPr>
          <w:rStyle w:val="Internetverknpfung"/>
          <w:rFonts w:ascii="Arial" w:hAnsi="Arial" w:cs="Arial"/>
          <w:color w:val="auto"/>
          <w:u w:val="none"/>
        </w:rPr>
      </w:pPr>
      <w:r>
        <w:rPr>
          <w:rFonts w:ascii="Arial" w:hAnsi="Arial" w:cs="Arial"/>
        </w:rPr>
        <w:t>[Vorname, Name]</w:t>
      </w:r>
    </w:p>
    <w:sectPr w:rsidR="00B7009C" w:rsidSect="0034038C">
      <w:headerReference w:type="default" r:id="rId17"/>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2A697" w14:textId="77777777" w:rsidR="00985C83" w:rsidRDefault="00985C83" w:rsidP="0034038C">
      <w:pPr>
        <w:spacing w:after="0" w:line="240" w:lineRule="auto"/>
      </w:pPr>
      <w:r>
        <w:separator/>
      </w:r>
    </w:p>
  </w:endnote>
  <w:endnote w:type="continuationSeparator" w:id="0">
    <w:p w14:paraId="5FF2E5F6" w14:textId="77777777" w:rsidR="00985C83" w:rsidRDefault="00985C83" w:rsidP="00340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mbria"/>
    <w:charset w:val="00"/>
    <w:family w:val="roman"/>
    <w:pitch w:val="variable"/>
  </w:font>
  <w:font w:name="Aptos Display">
    <w:charset w:val="00"/>
    <w:family w:val="roman"/>
    <w:pitch w:val="variable"/>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E7974" w14:textId="77777777" w:rsidR="00985C83" w:rsidRDefault="00985C83" w:rsidP="0034038C">
      <w:pPr>
        <w:spacing w:after="0" w:line="240" w:lineRule="auto"/>
      </w:pPr>
      <w:r>
        <w:separator/>
      </w:r>
    </w:p>
  </w:footnote>
  <w:footnote w:type="continuationSeparator" w:id="0">
    <w:p w14:paraId="0CB7A2DA" w14:textId="77777777" w:rsidR="00985C83" w:rsidRDefault="00985C83" w:rsidP="0034038C">
      <w:pPr>
        <w:spacing w:after="0" w:line="240" w:lineRule="auto"/>
      </w:pPr>
      <w:r>
        <w:continuationSeparator/>
      </w:r>
    </w:p>
  </w:footnote>
  <w:footnote w:id="1">
    <w:p w14:paraId="74E17A1F" w14:textId="14BEFF31" w:rsidR="004E4B70" w:rsidRPr="004E4B70" w:rsidRDefault="004E4B70">
      <w:pPr>
        <w:pStyle w:val="Funotentext"/>
        <w:rPr>
          <w:rFonts w:ascii="Arial" w:hAnsi="Arial" w:cs="Arial"/>
          <w:i/>
          <w:iCs/>
        </w:rPr>
      </w:pPr>
      <w:r w:rsidRPr="004E4B70">
        <w:rPr>
          <w:rStyle w:val="Funotenzeichen"/>
          <w:rFonts w:ascii="Arial" w:hAnsi="Arial" w:cs="Arial"/>
          <w:i/>
          <w:iCs/>
        </w:rPr>
        <w:footnoteRef/>
      </w:r>
      <w:r w:rsidRPr="004E4B70">
        <w:rPr>
          <w:rFonts w:ascii="Arial" w:hAnsi="Arial" w:cs="Arial"/>
          <w:i/>
          <w:iCs/>
        </w:rPr>
        <w:t xml:space="preserve"> </w:t>
      </w:r>
      <w:r>
        <w:rPr>
          <w:rFonts w:ascii="Arial" w:hAnsi="Arial" w:cs="Arial"/>
          <w:i/>
          <w:iCs/>
        </w:rPr>
        <w:t xml:space="preserve">Vgl. </w:t>
      </w:r>
      <w:r w:rsidRPr="004E4B70">
        <w:rPr>
          <w:rFonts w:ascii="Arial" w:hAnsi="Arial" w:cs="Arial"/>
          <w:i/>
          <w:iCs/>
        </w:rPr>
        <w:t>auch die Kleine Anfrage der BT-Fraktion der CDU/CSU vom 20.12.2023, BT-</w:t>
      </w:r>
      <w:proofErr w:type="spellStart"/>
      <w:r w:rsidRPr="004E4B70">
        <w:rPr>
          <w:rFonts w:ascii="Arial" w:hAnsi="Arial" w:cs="Arial"/>
          <w:i/>
          <w:iCs/>
        </w:rPr>
        <w:t>Drs</w:t>
      </w:r>
      <w:proofErr w:type="spellEnd"/>
      <w:r w:rsidRPr="004E4B70">
        <w:rPr>
          <w:rFonts w:ascii="Arial" w:hAnsi="Arial" w:cs="Arial"/>
          <w:i/>
          <w:iCs/>
        </w:rPr>
        <w:t>. 20/9885</w:t>
      </w:r>
      <w:r w:rsidR="003057A8">
        <w:rPr>
          <w:rFonts w:ascii="Arial" w:hAnsi="Arial" w:cs="Arial"/>
          <w:i/>
          <w:iCs/>
        </w:rPr>
        <w:t xml:space="preserve"> und Beschlusspapier Seon25 CSU im Bundestag, S. 23.</w:t>
      </w:r>
    </w:p>
  </w:footnote>
  <w:footnote w:id="2">
    <w:p w14:paraId="77737468" w14:textId="27BD6B03" w:rsidR="00AF39D3" w:rsidRDefault="00AF39D3">
      <w:pPr>
        <w:pStyle w:val="Funotentext"/>
      </w:pPr>
      <w:r>
        <w:rPr>
          <w:rStyle w:val="Funotenzeichen"/>
        </w:rPr>
        <w:footnoteRef/>
      </w:r>
      <w:r>
        <w:t xml:space="preserve"> </w:t>
      </w:r>
      <w:hyperlink r:id="rId1" w:history="1">
        <w:r w:rsidR="002C26E6" w:rsidRPr="002C26E6">
          <w:rPr>
            <w:rStyle w:val="Hyperlink"/>
          </w:rPr>
          <w:t>https://www.bmfsfj.de/resource/blob/224548/ee3826a31ca706aed23053b633ff5c60/entwurf-selbstbestimmungsgesetz-data.pdf</w:t>
        </w:r>
      </w:hyperlink>
      <w:r w:rsidR="002C26E6">
        <w:t xml:space="preserve"> </w:t>
      </w:r>
      <w:r w:rsidRPr="00AF39D3">
        <w:t>B., Zu § 6, Zu Abs. 2 (S.44).</w:t>
      </w:r>
    </w:p>
  </w:footnote>
  <w:footnote w:id="3">
    <w:p w14:paraId="68849E93" w14:textId="0FDFE4D0" w:rsidR="00F843C8" w:rsidRPr="00F843C8" w:rsidRDefault="00E11FA0" w:rsidP="00F843C8">
      <w:pPr>
        <w:pStyle w:val="Funotentext"/>
      </w:pPr>
      <w:r>
        <w:rPr>
          <w:rStyle w:val="Funotenzeichen"/>
        </w:rPr>
        <w:footnoteRef/>
      </w:r>
      <w:r w:rsidRPr="00F843C8">
        <w:t xml:space="preserve"> </w:t>
      </w:r>
      <w:hyperlink r:id="rId2" w:history="1">
        <w:r w:rsidR="00F843C8" w:rsidRPr="00F843C8">
          <w:rPr>
            <w:rStyle w:val="Hyperlink"/>
          </w:rPr>
          <w:t>https://documents.un.org/doc/undoc/gen/n24/249/94/pdf/n2424994.pdf</w:t>
        </w:r>
      </w:hyperlink>
      <w:r w:rsidR="00F843C8" w:rsidRPr="00F843C8">
        <w:t xml:space="preserve">, </w:t>
      </w:r>
      <w:proofErr w:type="spellStart"/>
      <w:r w:rsidR="00F843C8" w:rsidRPr="00F843C8">
        <w:t>pa</w:t>
      </w:r>
      <w:r w:rsidR="00F843C8">
        <w:t>ra</w:t>
      </w:r>
      <w:proofErr w:type="spellEnd"/>
      <w:r w:rsidR="00F843C8">
        <w:t>. 11.</w:t>
      </w:r>
    </w:p>
    <w:p w14:paraId="0822F85F" w14:textId="42C45A80" w:rsidR="00E11FA0" w:rsidRPr="00F843C8" w:rsidRDefault="00E11FA0">
      <w:pPr>
        <w:pStyle w:val="Funotentext"/>
      </w:pPr>
    </w:p>
  </w:footnote>
  <w:footnote w:id="4">
    <w:p w14:paraId="7324402E" w14:textId="0048A97A" w:rsidR="001243B8" w:rsidRPr="009E55E8" w:rsidRDefault="001243B8" w:rsidP="001243B8">
      <w:pPr>
        <w:jc w:val="both"/>
        <w:rPr>
          <w:rStyle w:val="Internetverknpfung"/>
          <w:rFonts w:ascii="Arial" w:hAnsi="Arial" w:cs="Arial"/>
          <w:i/>
          <w:iCs/>
          <w:color w:val="auto"/>
          <w:sz w:val="20"/>
          <w:szCs w:val="20"/>
          <w:u w:val="none"/>
        </w:rPr>
      </w:pPr>
      <w:r w:rsidRPr="009E55E8">
        <w:rPr>
          <w:rStyle w:val="Funotenzeichen"/>
          <w:rFonts w:ascii="Arial" w:hAnsi="Arial" w:cs="Arial"/>
          <w:i/>
          <w:iCs/>
          <w:sz w:val="20"/>
          <w:szCs w:val="20"/>
        </w:rPr>
        <w:footnoteRef/>
      </w:r>
      <w:r w:rsidRPr="009E55E8">
        <w:rPr>
          <w:rFonts w:ascii="Arial" w:hAnsi="Arial" w:cs="Arial"/>
          <w:i/>
          <w:iCs/>
          <w:sz w:val="20"/>
          <w:szCs w:val="20"/>
        </w:rPr>
        <w:t xml:space="preserve"> Weitere Gründe für die Verfassungswidrigkeit des SBGG sind in dem Rechtsgutachten von Rechtsanwältin Gunda Schumann, M.C.J., LL.M., erläutert, welches während der Verbändeanhörung auch auf der Website des BMFSFJ gelistet war. Sie können das Gutachten und Erläuterungen zum Gesetzentwurf der Bundesregierung vom 23.08.2023 sowie der aktuellen Änderungsvorschläge des Familienausschusses vom 10.04.2024 </w:t>
      </w:r>
      <w:hyperlink r:id="rId3">
        <w:r w:rsidRPr="009E55E8">
          <w:rPr>
            <w:rStyle w:val="Internetverknpfung"/>
            <w:rFonts w:ascii="Arial" w:hAnsi="Arial" w:cs="Arial"/>
            <w:i/>
            <w:iCs/>
            <w:sz w:val="20"/>
            <w:szCs w:val="20"/>
          </w:rPr>
          <w:t xml:space="preserve">hier </w:t>
        </w:r>
      </w:hyperlink>
      <w:r w:rsidRPr="009E55E8">
        <w:rPr>
          <w:rFonts w:ascii="Arial" w:hAnsi="Arial" w:cs="Arial"/>
          <w:i/>
          <w:iCs/>
          <w:sz w:val="20"/>
          <w:szCs w:val="20"/>
        </w:rPr>
        <w:t xml:space="preserve">, </w:t>
      </w:r>
      <w:hyperlink r:id="rId4">
        <w:r w:rsidRPr="009E55E8">
          <w:rPr>
            <w:rStyle w:val="Internetverknpfung"/>
            <w:rFonts w:ascii="Arial" w:hAnsi="Arial" w:cs="Arial"/>
            <w:i/>
            <w:iCs/>
            <w:sz w:val="20"/>
            <w:szCs w:val="20"/>
          </w:rPr>
          <w:t>bzw. hier</w:t>
        </w:r>
      </w:hyperlink>
      <w:r w:rsidRPr="009E55E8">
        <w:rPr>
          <w:rStyle w:val="Internetverknpfung"/>
          <w:rFonts w:ascii="Arial" w:hAnsi="Arial" w:cs="Arial"/>
          <w:i/>
          <w:iCs/>
          <w:sz w:val="20"/>
          <w:szCs w:val="20"/>
          <w:u w:val="none"/>
        </w:rPr>
        <w:t xml:space="preserve"> </w:t>
      </w:r>
      <w:r w:rsidRPr="009E55E8">
        <w:rPr>
          <w:rStyle w:val="Internetverknpfung"/>
          <w:rFonts w:ascii="Arial" w:hAnsi="Arial" w:cs="Arial"/>
          <w:i/>
          <w:iCs/>
          <w:color w:val="auto"/>
          <w:sz w:val="20"/>
          <w:szCs w:val="20"/>
          <w:u w:val="none"/>
        </w:rPr>
        <w:t>abrufen.</w:t>
      </w:r>
    </w:p>
    <w:p w14:paraId="32B6E7F3" w14:textId="50BF0B36" w:rsidR="001243B8" w:rsidRDefault="001243B8">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3016478"/>
      <w:docPartObj>
        <w:docPartGallery w:val="Page Numbers (Top of Page)"/>
        <w:docPartUnique/>
      </w:docPartObj>
    </w:sdtPr>
    <w:sdtEndPr/>
    <w:sdtContent>
      <w:p w14:paraId="0F4CB4F2" w14:textId="435775DC" w:rsidR="0034038C" w:rsidRDefault="0034038C">
        <w:pPr>
          <w:pStyle w:val="Kopfzeile"/>
          <w:jc w:val="right"/>
        </w:pPr>
        <w:r>
          <w:fldChar w:fldCharType="begin"/>
        </w:r>
        <w:r>
          <w:instrText>PAGE   \* MERGEFORMAT</w:instrText>
        </w:r>
        <w:r>
          <w:fldChar w:fldCharType="separate"/>
        </w:r>
        <w:r>
          <w:t>2</w:t>
        </w:r>
        <w:r>
          <w:fldChar w:fldCharType="end"/>
        </w:r>
      </w:p>
    </w:sdtContent>
  </w:sdt>
  <w:p w14:paraId="7A5FB4E0" w14:textId="77777777" w:rsidR="0034038C" w:rsidRDefault="0034038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60DC4"/>
    <w:multiLevelType w:val="multilevel"/>
    <w:tmpl w:val="6F1870D6"/>
    <w:lvl w:ilvl="0">
      <w:start w:val="1"/>
      <w:numFmt w:val="bullet"/>
      <w:lvlText w:val=""/>
      <w:lvlJc w:val="left"/>
      <w:pPr>
        <w:ind w:left="2136" w:hanging="360"/>
      </w:pPr>
      <w:rPr>
        <w:rFonts w:ascii="Wingdings" w:hAnsi="Wingdings" w:cs="Wingdings" w:hint="default"/>
      </w:rPr>
    </w:lvl>
    <w:lvl w:ilvl="1">
      <w:start w:val="1"/>
      <w:numFmt w:val="bullet"/>
      <w:lvlText w:val="o"/>
      <w:lvlJc w:val="left"/>
      <w:pPr>
        <w:ind w:left="2856" w:hanging="360"/>
      </w:pPr>
      <w:rPr>
        <w:rFonts w:ascii="Courier New" w:hAnsi="Courier New" w:cs="Courier New" w:hint="default"/>
      </w:rPr>
    </w:lvl>
    <w:lvl w:ilvl="2">
      <w:start w:val="1"/>
      <w:numFmt w:val="bullet"/>
      <w:lvlText w:val=""/>
      <w:lvlJc w:val="left"/>
      <w:pPr>
        <w:ind w:left="3576" w:hanging="360"/>
      </w:pPr>
      <w:rPr>
        <w:rFonts w:ascii="Wingdings" w:hAnsi="Wingdings" w:cs="Wingdings" w:hint="default"/>
      </w:rPr>
    </w:lvl>
    <w:lvl w:ilvl="3">
      <w:start w:val="1"/>
      <w:numFmt w:val="bullet"/>
      <w:lvlText w:val=""/>
      <w:lvlJc w:val="left"/>
      <w:pPr>
        <w:ind w:left="4296" w:hanging="360"/>
      </w:pPr>
      <w:rPr>
        <w:rFonts w:ascii="Symbol" w:hAnsi="Symbol" w:cs="Symbol" w:hint="default"/>
      </w:rPr>
    </w:lvl>
    <w:lvl w:ilvl="4">
      <w:start w:val="1"/>
      <w:numFmt w:val="bullet"/>
      <w:lvlText w:val="o"/>
      <w:lvlJc w:val="left"/>
      <w:pPr>
        <w:ind w:left="5016" w:hanging="360"/>
      </w:pPr>
      <w:rPr>
        <w:rFonts w:ascii="Courier New" w:hAnsi="Courier New" w:cs="Courier New" w:hint="default"/>
      </w:rPr>
    </w:lvl>
    <w:lvl w:ilvl="5">
      <w:start w:val="1"/>
      <w:numFmt w:val="bullet"/>
      <w:lvlText w:val=""/>
      <w:lvlJc w:val="left"/>
      <w:pPr>
        <w:ind w:left="5736" w:hanging="360"/>
      </w:pPr>
      <w:rPr>
        <w:rFonts w:ascii="Wingdings" w:hAnsi="Wingdings" w:cs="Wingdings" w:hint="default"/>
      </w:rPr>
    </w:lvl>
    <w:lvl w:ilvl="6">
      <w:start w:val="1"/>
      <w:numFmt w:val="bullet"/>
      <w:lvlText w:val=""/>
      <w:lvlJc w:val="left"/>
      <w:pPr>
        <w:ind w:left="6456" w:hanging="360"/>
      </w:pPr>
      <w:rPr>
        <w:rFonts w:ascii="Symbol" w:hAnsi="Symbol" w:cs="Symbol" w:hint="default"/>
      </w:rPr>
    </w:lvl>
    <w:lvl w:ilvl="7">
      <w:start w:val="1"/>
      <w:numFmt w:val="bullet"/>
      <w:lvlText w:val="o"/>
      <w:lvlJc w:val="left"/>
      <w:pPr>
        <w:ind w:left="7176" w:hanging="360"/>
      </w:pPr>
      <w:rPr>
        <w:rFonts w:ascii="Courier New" w:hAnsi="Courier New" w:cs="Courier New" w:hint="default"/>
      </w:rPr>
    </w:lvl>
    <w:lvl w:ilvl="8">
      <w:start w:val="1"/>
      <w:numFmt w:val="bullet"/>
      <w:lvlText w:val=""/>
      <w:lvlJc w:val="left"/>
      <w:pPr>
        <w:ind w:left="7896" w:hanging="360"/>
      </w:pPr>
      <w:rPr>
        <w:rFonts w:ascii="Wingdings" w:hAnsi="Wingdings" w:cs="Wingdings" w:hint="default"/>
      </w:rPr>
    </w:lvl>
  </w:abstractNum>
  <w:abstractNum w:abstractNumId="1" w15:restartNumberingAfterBreak="0">
    <w:nsid w:val="17013D9C"/>
    <w:multiLevelType w:val="hybridMultilevel"/>
    <w:tmpl w:val="5ABC6A7A"/>
    <w:lvl w:ilvl="0" w:tplc="0407000B">
      <w:start w:val="1"/>
      <w:numFmt w:val="bullet"/>
      <w:lvlText w:val=""/>
      <w:lvlJc w:val="left"/>
      <w:pPr>
        <w:ind w:left="2136" w:hanging="360"/>
      </w:pPr>
      <w:rPr>
        <w:rFonts w:ascii="Wingdings" w:hAnsi="Wingdings"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2" w15:restartNumberingAfterBreak="0">
    <w:nsid w:val="19F501A3"/>
    <w:multiLevelType w:val="multilevel"/>
    <w:tmpl w:val="DFCC16E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C0532EF"/>
    <w:multiLevelType w:val="hybridMultilevel"/>
    <w:tmpl w:val="B128DB46"/>
    <w:lvl w:ilvl="0" w:tplc="04070015">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27067B2"/>
    <w:multiLevelType w:val="hybridMultilevel"/>
    <w:tmpl w:val="71C043AE"/>
    <w:lvl w:ilvl="0" w:tplc="04070009">
      <w:start w:val="1"/>
      <w:numFmt w:val="bullet"/>
      <w:lvlText w:val=""/>
      <w:lvlJc w:val="left"/>
      <w:pPr>
        <w:ind w:left="2856" w:hanging="360"/>
      </w:pPr>
      <w:rPr>
        <w:rFonts w:ascii="Wingdings" w:hAnsi="Wingdings" w:hint="default"/>
      </w:rPr>
    </w:lvl>
    <w:lvl w:ilvl="1" w:tplc="04070003">
      <w:start w:val="1"/>
      <w:numFmt w:val="bullet"/>
      <w:lvlText w:val="o"/>
      <w:lvlJc w:val="left"/>
      <w:pPr>
        <w:ind w:left="3576" w:hanging="360"/>
      </w:pPr>
      <w:rPr>
        <w:rFonts w:ascii="Courier New" w:hAnsi="Courier New" w:cs="Courier New" w:hint="default"/>
      </w:rPr>
    </w:lvl>
    <w:lvl w:ilvl="2" w:tplc="04070005" w:tentative="1">
      <w:start w:val="1"/>
      <w:numFmt w:val="bullet"/>
      <w:lvlText w:val=""/>
      <w:lvlJc w:val="left"/>
      <w:pPr>
        <w:ind w:left="4296" w:hanging="360"/>
      </w:pPr>
      <w:rPr>
        <w:rFonts w:ascii="Wingdings" w:hAnsi="Wingdings" w:hint="default"/>
      </w:rPr>
    </w:lvl>
    <w:lvl w:ilvl="3" w:tplc="04070001" w:tentative="1">
      <w:start w:val="1"/>
      <w:numFmt w:val="bullet"/>
      <w:lvlText w:val=""/>
      <w:lvlJc w:val="left"/>
      <w:pPr>
        <w:ind w:left="5016" w:hanging="360"/>
      </w:pPr>
      <w:rPr>
        <w:rFonts w:ascii="Symbol" w:hAnsi="Symbol" w:hint="default"/>
      </w:rPr>
    </w:lvl>
    <w:lvl w:ilvl="4" w:tplc="04070003" w:tentative="1">
      <w:start w:val="1"/>
      <w:numFmt w:val="bullet"/>
      <w:lvlText w:val="o"/>
      <w:lvlJc w:val="left"/>
      <w:pPr>
        <w:ind w:left="5736" w:hanging="360"/>
      </w:pPr>
      <w:rPr>
        <w:rFonts w:ascii="Courier New" w:hAnsi="Courier New" w:cs="Courier New" w:hint="default"/>
      </w:rPr>
    </w:lvl>
    <w:lvl w:ilvl="5" w:tplc="04070005" w:tentative="1">
      <w:start w:val="1"/>
      <w:numFmt w:val="bullet"/>
      <w:lvlText w:val=""/>
      <w:lvlJc w:val="left"/>
      <w:pPr>
        <w:ind w:left="6456" w:hanging="360"/>
      </w:pPr>
      <w:rPr>
        <w:rFonts w:ascii="Wingdings" w:hAnsi="Wingdings" w:hint="default"/>
      </w:rPr>
    </w:lvl>
    <w:lvl w:ilvl="6" w:tplc="04070001" w:tentative="1">
      <w:start w:val="1"/>
      <w:numFmt w:val="bullet"/>
      <w:lvlText w:val=""/>
      <w:lvlJc w:val="left"/>
      <w:pPr>
        <w:ind w:left="7176" w:hanging="360"/>
      </w:pPr>
      <w:rPr>
        <w:rFonts w:ascii="Symbol" w:hAnsi="Symbol" w:hint="default"/>
      </w:rPr>
    </w:lvl>
    <w:lvl w:ilvl="7" w:tplc="04070003" w:tentative="1">
      <w:start w:val="1"/>
      <w:numFmt w:val="bullet"/>
      <w:lvlText w:val="o"/>
      <w:lvlJc w:val="left"/>
      <w:pPr>
        <w:ind w:left="7896" w:hanging="360"/>
      </w:pPr>
      <w:rPr>
        <w:rFonts w:ascii="Courier New" w:hAnsi="Courier New" w:cs="Courier New" w:hint="default"/>
      </w:rPr>
    </w:lvl>
    <w:lvl w:ilvl="8" w:tplc="04070005" w:tentative="1">
      <w:start w:val="1"/>
      <w:numFmt w:val="bullet"/>
      <w:lvlText w:val=""/>
      <w:lvlJc w:val="left"/>
      <w:pPr>
        <w:ind w:left="8616" w:hanging="360"/>
      </w:pPr>
      <w:rPr>
        <w:rFonts w:ascii="Wingdings" w:hAnsi="Wingdings" w:hint="default"/>
      </w:rPr>
    </w:lvl>
  </w:abstractNum>
  <w:abstractNum w:abstractNumId="5" w15:restartNumberingAfterBreak="0">
    <w:nsid w:val="22961478"/>
    <w:multiLevelType w:val="hybridMultilevel"/>
    <w:tmpl w:val="B3184320"/>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6" w15:restartNumberingAfterBreak="0">
    <w:nsid w:val="235B0565"/>
    <w:multiLevelType w:val="hybridMultilevel"/>
    <w:tmpl w:val="1DD497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9B1254D"/>
    <w:multiLevelType w:val="hybridMultilevel"/>
    <w:tmpl w:val="846E0AD8"/>
    <w:lvl w:ilvl="0" w:tplc="04070001">
      <w:start w:val="1"/>
      <w:numFmt w:val="bullet"/>
      <w:lvlText w:val=""/>
      <w:lvlJc w:val="left"/>
      <w:pPr>
        <w:ind w:left="2856" w:hanging="360"/>
      </w:pPr>
      <w:rPr>
        <w:rFonts w:ascii="Symbol" w:hAnsi="Symbol" w:hint="default"/>
      </w:rPr>
    </w:lvl>
    <w:lvl w:ilvl="1" w:tplc="04070003" w:tentative="1">
      <w:start w:val="1"/>
      <w:numFmt w:val="bullet"/>
      <w:lvlText w:val="o"/>
      <w:lvlJc w:val="left"/>
      <w:pPr>
        <w:ind w:left="3576" w:hanging="360"/>
      </w:pPr>
      <w:rPr>
        <w:rFonts w:ascii="Courier New" w:hAnsi="Courier New" w:cs="Courier New" w:hint="default"/>
      </w:rPr>
    </w:lvl>
    <w:lvl w:ilvl="2" w:tplc="04070005" w:tentative="1">
      <w:start w:val="1"/>
      <w:numFmt w:val="bullet"/>
      <w:lvlText w:val=""/>
      <w:lvlJc w:val="left"/>
      <w:pPr>
        <w:ind w:left="4296" w:hanging="360"/>
      </w:pPr>
      <w:rPr>
        <w:rFonts w:ascii="Wingdings" w:hAnsi="Wingdings" w:hint="default"/>
      </w:rPr>
    </w:lvl>
    <w:lvl w:ilvl="3" w:tplc="04070001" w:tentative="1">
      <w:start w:val="1"/>
      <w:numFmt w:val="bullet"/>
      <w:lvlText w:val=""/>
      <w:lvlJc w:val="left"/>
      <w:pPr>
        <w:ind w:left="5016" w:hanging="360"/>
      </w:pPr>
      <w:rPr>
        <w:rFonts w:ascii="Symbol" w:hAnsi="Symbol" w:hint="default"/>
      </w:rPr>
    </w:lvl>
    <w:lvl w:ilvl="4" w:tplc="04070003" w:tentative="1">
      <w:start w:val="1"/>
      <w:numFmt w:val="bullet"/>
      <w:lvlText w:val="o"/>
      <w:lvlJc w:val="left"/>
      <w:pPr>
        <w:ind w:left="5736" w:hanging="360"/>
      </w:pPr>
      <w:rPr>
        <w:rFonts w:ascii="Courier New" w:hAnsi="Courier New" w:cs="Courier New" w:hint="default"/>
      </w:rPr>
    </w:lvl>
    <w:lvl w:ilvl="5" w:tplc="04070005" w:tentative="1">
      <w:start w:val="1"/>
      <w:numFmt w:val="bullet"/>
      <w:lvlText w:val=""/>
      <w:lvlJc w:val="left"/>
      <w:pPr>
        <w:ind w:left="6456" w:hanging="360"/>
      </w:pPr>
      <w:rPr>
        <w:rFonts w:ascii="Wingdings" w:hAnsi="Wingdings" w:hint="default"/>
      </w:rPr>
    </w:lvl>
    <w:lvl w:ilvl="6" w:tplc="04070001" w:tentative="1">
      <w:start w:val="1"/>
      <w:numFmt w:val="bullet"/>
      <w:lvlText w:val=""/>
      <w:lvlJc w:val="left"/>
      <w:pPr>
        <w:ind w:left="7176" w:hanging="360"/>
      </w:pPr>
      <w:rPr>
        <w:rFonts w:ascii="Symbol" w:hAnsi="Symbol" w:hint="default"/>
      </w:rPr>
    </w:lvl>
    <w:lvl w:ilvl="7" w:tplc="04070003" w:tentative="1">
      <w:start w:val="1"/>
      <w:numFmt w:val="bullet"/>
      <w:lvlText w:val="o"/>
      <w:lvlJc w:val="left"/>
      <w:pPr>
        <w:ind w:left="7896" w:hanging="360"/>
      </w:pPr>
      <w:rPr>
        <w:rFonts w:ascii="Courier New" w:hAnsi="Courier New" w:cs="Courier New" w:hint="default"/>
      </w:rPr>
    </w:lvl>
    <w:lvl w:ilvl="8" w:tplc="04070005" w:tentative="1">
      <w:start w:val="1"/>
      <w:numFmt w:val="bullet"/>
      <w:lvlText w:val=""/>
      <w:lvlJc w:val="left"/>
      <w:pPr>
        <w:ind w:left="8616" w:hanging="360"/>
      </w:pPr>
      <w:rPr>
        <w:rFonts w:ascii="Wingdings" w:hAnsi="Wingdings" w:hint="default"/>
      </w:rPr>
    </w:lvl>
  </w:abstractNum>
  <w:abstractNum w:abstractNumId="8" w15:restartNumberingAfterBreak="0">
    <w:nsid w:val="2B5B0198"/>
    <w:multiLevelType w:val="hybridMultilevel"/>
    <w:tmpl w:val="C3CCF6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0FA7A6E"/>
    <w:multiLevelType w:val="hybridMultilevel"/>
    <w:tmpl w:val="25A44AA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003438D"/>
    <w:multiLevelType w:val="hybridMultilevel"/>
    <w:tmpl w:val="60AAD874"/>
    <w:lvl w:ilvl="0" w:tplc="A4BC656C">
      <w:start w:val="2"/>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15:restartNumberingAfterBreak="0">
    <w:nsid w:val="577E35A5"/>
    <w:multiLevelType w:val="hybridMultilevel"/>
    <w:tmpl w:val="90AA543A"/>
    <w:lvl w:ilvl="0" w:tplc="04070001">
      <w:start w:val="1"/>
      <w:numFmt w:val="bullet"/>
      <w:lvlText w:val=""/>
      <w:lvlJc w:val="left"/>
      <w:pPr>
        <w:ind w:left="1788" w:hanging="360"/>
      </w:pPr>
      <w:rPr>
        <w:rFonts w:ascii="Symbol" w:hAnsi="Symbol" w:hint="default"/>
      </w:rPr>
    </w:lvl>
    <w:lvl w:ilvl="1" w:tplc="04070003" w:tentative="1">
      <w:start w:val="1"/>
      <w:numFmt w:val="bullet"/>
      <w:lvlText w:val="o"/>
      <w:lvlJc w:val="left"/>
      <w:pPr>
        <w:ind w:left="2508" w:hanging="360"/>
      </w:pPr>
      <w:rPr>
        <w:rFonts w:ascii="Courier New" w:hAnsi="Courier New" w:cs="Courier New" w:hint="default"/>
      </w:rPr>
    </w:lvl>
    <w:lvl w:ilvl="2" w:tplc="04070005" w:tentative="1">
      <w:start w:val="1"/>
      <w:numFmt w:val="bullet"/>
      <w:lvlText w:val=""/>
      <w:lvlJc w:val="left"/>
      <w:pPr>
        <w:ind w:left="3228" w:hanging="360"/>
      </w:pPr>
      <w:rPr>
        <w:rFonts w:ascii="Wingdings" w:hAnsi="Wingdings" w:hint="default"/>
      </w:rPr>
    </w:lvl>
    <w:lvl w:ilvl="3" w:tplc="04070001" w:tentative="1">
      <w:start w:val="1"/>
      <w:numFmt w:val="bullet"/>
      <w:lvlText w:val=""/>
      <w:lvlJc w:val="left"/>
      <w:pPr>
        <w:ind w:left="3948" w:hanging="360"/>
      </w:pPr>
      <w:rPr>
        <w:rFonts w:ascii="Symbol" w:hAnsi="Symbol" w:hint="default"/>
      </w:rPr>
    </w:lvl>
    <w:lvl w:ilvl="4" w:tplc="04070003" w:tentative="1">
      <w:start w:val="1"/>
      <w:numFmt w:val="bullet"/>
      <w:lvlText w:val="o"/>
      <w:lvlJc w:val="left"/>
      <w:pPr>
        <w:ind w:left="4668" w:hanging="360"/>
      </w:pPr>
      <w:rPr>
        <w:rFonts w:ascii="Courier New" w:hAnsi="Courier New" w:cs="Courier New" w:hint="default"/>
      </w:rPr>
    </w:lvl>
    <w:lvl w:ilvl="5" w:tplc="04070005" w:tentative="1">
      <w:start w:val="1"/>
      <w:numFmt w:val="bullet"/>
      <w:lvlText w:val=""/>
      <w:lvlJc w:val="left"/>
      <w:pPr>
        <w:ind w:left="5388" w:hanging="360"/>
      </w:pPr>
      <w:rPr>
        <w:rFonts w:ascii="Wingdings" w:hAnsi="Wingdings" w:hint="default"/>
      </w:rPr>
    </w:lvl>
    <w:lvl w:ilvl="6" w:tplc="04070001" w:tentative="1">
      <w:start w:val="1"/>
      <w:numFmt w:val="bullet"/>
      <w:lvlText w:val=""/>
      <w:lvlJc w:val="left"/>
      <w:pPr>
        <w:ind w:left="6108" w:hanging="360"/>
      </w:pPr>
      <w:rPr>
        <w:rFonts w:ascii="Symbol" w:hAnsi="Symbol" w:hint="default"/>
      </w:rPr>
    </w:lvl>
    <w:lvl w:ilvl="7" w:tplc="04070003" w:tentative="1">
      <w:start w:val="1"/>
      <w:numFmt w:val="bullet"/>
      <w:lvlText w:val="o"/>
      <w:lvlJc w:val="left"/>
      <w:pPr>
        <w:ind w:left="6828" w:hanging="360"/>
      </w:pPr>
      <w:rPr>
        <w:rFonts w:ascii="Courier New" w:hAnsi="Courier New" w:cs="Courier New" w:hint="default"/>
      </w:rPr>
    </w:lvl>
    <w:lvl w:ilvl="8" w:tplc="04070005" w:tentative="1">
      <w:start w:val="1"/>
      <w:numFmt w:val="bullet"/>
      <w:lvlText w:val=""/>
      <w:lvlJc w:val="left"/>
      <w:pPr>
        <w:ind w:left="7548" w:hanging="360"/>
      </w:pPr>
      <w:rPr>
        <w:rFonts w:ascii="Wingdings" w:hAnsi="Wingdings" w:hint="default"/>
      </w:rPr>
    </w:lvl>
  </w:abstractNum>
  <w:abstractNum w:abstractNumId="12" w15:restartNumberingAfterBreak="0">
    <w:nsid w:val="5BAE6003"/>
    <w:multiLevelType w:val="hybridMultilevel"/>
    <w:tmpl w:val="1B10B75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F004BB9"/>
    <w:multiLevelType w:val="hybridMultilevel"/>
    <w:tmpl w:val="4A5AD346"/>
    <w:lvl w:ilvl="0" w:tplc="0407000B">
      <w:start w:val="1"/>
      <w:numFmt w:val="bullet"/>
      <w:lvlText w:val=""/>
      <w:lvlJc w:val="left"/>
      <w:pPr>
        <w:ind w:left="2136" w:hanging="360"/>
      </w:pPr>
      <w:rPr>
        <w:rFonts w:ascii="Wingdings" w:hAnsi="Wingdings"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14" w15:restartNumberingAfterBreak="0">
    <w:nsid w:val="627D16A8"/>
    <w:multiLevelType w:val="hybridMultilevel"/>
    <w:tmpl w:val="C3866B7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5" w15:restartNumberingAfterBreak="0">
    <w:nsid w:val="6E6261D8"/>
    <w:multiLevelType w:val="hybridMultilevel"/>
    <w:tmpl w:val="B85897F4"/>
    <w:lvl w:ilvl="0" w:tplc="0407000B">
      <w:start w:val="1"/>
      <w:numFmt w:val="bullet"/>
      <w:lvlText w:val=""/>
      <w:lvlJc w:val="left"/>
      <w:pPr>
        <w:ind w:left="1428" w:hanging="360"/>
      </w:pPr>
      <w:rPr>
        <w:rFonts w:ascii="Wingdings" w:hAnsi="Wingdings"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6" w15:restartNumberingAfterBreak="0">
    <w:nsid w:val="75033A9E"/>
    <w:multiLevelType w:val="multilevel"/>
    <w:tmpl w:val="EEAA97D6"/>
    <w:lvl w:ilvl="0">
      <w:start w:val="1"/>
      <w:numFmt w:val="bullet"/>
      <w:lvlText w:val=""/>
      <w:lvlJc w:val="left"/>
      <w:pPr>
        <w:ind w:left="1068" w:hanging="360"/>
      </w:pPr>
      <w:rPr>
        <w:rFonts w:ascii="Wingdings" w:hAnsi="Wingdings" w:cs="Wingdings" w:hint="default"/>
      </w:rPr>
    </w:lvl>
    <w:lvl w:ilvl="1">
      <w:start w:val="1"/>
      <w:numFmt w:val="bullet"/>
      <w:lvlText w:val=""/>
      <w:lvlJc w:val="left"/>
      <w:pPr>
        <w:ind w:left="1788" w:hanging="360"/>
      </w:pPr>
      <w:rPr>
        <w:rFonts w:ascii="Wingdings" w:hAnsi="Wingdings" w:cs="Wingdings" w:hint="default"/>
      </w:rPr>
    </w:lvl>
    <w:lvl w:ilvl="2">
      <w:start w:val="1"/>
      <w:numFmt w:val="bullet"/>
      <w:lvlText w:val=""/>
      <w:lvlJc w:val="left"/>
      <w:pPr>
        <w:ind w:left="2484"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num w:numId="1">
    <w:abstractNumId w:val="2"/>
  </w:num>
  <w:num w:numId="2">
    <w:abstractNumId w:val="16"/>
  </w:num>
  <w:num w:numId="3">
    <w:abstractNumId w:val="0"/>
  </w:num>
  <w:num w:numId="4">
    <w:abstractNumId w:val="4"/>
  </w:num>
  <w:num w:numId="5">
    <w:abstractNumId w:val="12"/>
  </w:num>
  <w:num w:numId="6">
    <w:abstractNumId w:val="11"/>
  </w:num>
  <w:num w:numId="7">
    <w:abstractNumId w:val="6"/>
  </w:num>
  <w:num w:numId="8">
    <w:abstractNumId w:val="13"/>
  </w:num>
  <w:num w:numId="9">
    <w:abstractNumId w:val="1"/>
  </w:num>
  <w:num w:numId="10">
    <w:abstractNumId w:val="9"/>
  </w:num>
  <w:num w:numId="11">
    <w:abstractNumId w:val="7"/>
  </w:num>
  <w:num w:numId="12">
    <w:abstractNumId w:val="15"/>
  </w:num>
  <w:num w:numId="13">
    <w:abstractNumId w:val="10"/>
  </w:num>
  <w:num w:numId="14">
    <w:abstractNumId w:val="3"/>
  </w:num>
  <w:num w:numId="15">
    <w:abstractNumId w:val="14"/>
  </w:num>
  <w:num w:numId="16">
    <w:abstractNumId w:va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D12"/>
    <w:rsid w:val="00037136"/>
    <w:rsid w:val="000524CD"/>
    <w:rsid w:val="0007413F"/>
    <w:rsid w:val="0009646B"/>
    <w:rsid w:val="000A7CA1"/>
    <w:rsid w:val="001146EB"/>
    <w:rsid w:val="001241AB"/>
    <w:rsid w:val="001243B8"/>
    <w:rsid w:val="0013321D"/>
    <w:rsid w:val="00151411"/>
    <w:rsid w:val="00175784"/>
    <w:rsid w:val="00183DCA"/>
    <w:rsid w:val="00296530"/>
    <w:rsid w:val="002C26E6"/>
    <w:rsid w:val="002F2FED"/>
    <w:rsid w:val="002F574E"/>
    <w:rsid w:val="003057A8"/>
    <w:rsid w:val="00307465"/>
    <w:rsid w:val="00323D12"/>
    <w:rsid w:val="00335CF4"/>
    <w:rsid w:val="0034038C"/>
    <w:rsid w:val="0037028D"/>
    <w:rsid w:val="003A7A36"/>
    <w:rsid w:val="003B7C0E"/>
    <w:rsid w:val="003D3771"/>
    <w:rsid w:val="003D4651"/>
    <w:rsid w:val="00414F32"/>
    <w:rsid w:val="00434FDE"/>
    <w:rsid w:val="00452098"/>
    <w:rsid w:val="00483CE1"/>
    <w:rsid w:val="004975BC"/>
    <w:rsid w:val="004A2FA6"/>
    <w:rsid w:val="004A4B9A"/>
    <w:rsid w:val="004C2220"/>
    <w:rsid w:val="004E4B70"/>
    <w:rsid w:val="00546C0F"/>
    <w:rsid w:val="005622E6"/>
    <w:rsid w:val="00595B36"/>
    <w:rsid w:val="0062456D"/>
    <w:rsid w:val="006814EB"/>
    <w:rsid w:val="006A0FAD"/>
    <w:rsid w:val="006A18BA"/>
    <w:rsid w:val="006C1718"/>
    <w:rsid w:val="006E7E1D"/>
    <w:rsid w:val="007E6ADC"/>
    <w:rsid w:val="00804A02"/>
    <w:rsid w:val="008308FA"/>
    <w:rsid w:val="008B40F9"/>
    <w:rsid w:val="008F74DA"/>
    <w:rsid w:val="00900975"/>
    <w:rsid w:val="009164D6"/>
    <w:rsid w:val="00985C83"/>
    <w:rsid w:val="009B27D5"/>
    <w:rsid w:val="009E3430"/>
    <w:rsid w:val="009E55E8"/>
    <w:rsid w:val="009F55CD"/>
    <w:rsid w:val="00A32634"/>
    <w:rsid w:val="00A6681B"/>
    <w:rsid w:val="00AC623D"/>
    <w:rsid w:val="00AF39D3"/>
    <w:rsid w:val="00B10AC7"/>
    <w:rsid w:val="00B7009C"/>
    <w:rsid w:val="00B7135D"/>
    <w:rsid w:val="00B91406"/>
    <w:rsid w:val="00BD39C1"/>
    <w:rsid w:val="00BF76B4"/>
    <w:rsid w:val="00CE2532"/>
    <w:rsid w:val="00D705DB"/>
    <w:rsid w:val="00D770BC"/>
    <w:rsid w:val="00D814FD"/>
    <w:rsid w:val="00DE1842"/>
    <w:rsid w:val="00DF61E8"/>
    <w:rsid w:val="00E11FA0"/>
    <w:rsid w:val="00E2679A"/>
    <w:rsid w:val="00E3779C"/>
    <w:rsid w:val="00E4644E"/>
    <w:rsid w:val="00E607C8"/>
    <w:rsid w:val="00E626E5"/>
    <w:rsid w:val="00E66245"/>
    <w:rsid w:val="00F00F6C"/>
    <w:rsid w:val="00F671EF"/>
    <w:rsid w:val="00F843C8"/>
    <w:rsid w:val="00FF52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17DC0"/>
  <w15:chartTrackingRefBased/>
  <w15:docId w15:val="{8BE1BDAB-E399-472B-BEA5-12968C010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23D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23D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23D1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23D1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23D1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23D1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23D1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23D1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23D1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23D1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23D1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23D1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23D1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23D1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23D1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23D1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23D1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23D12"/>
    <w:rPr>
      <w:rFonts w:eastAsiaTheme="majorEastAsia" w:cstheme="majorBidi"/>
      <w:color w:val="272727" w:themeColor="text1" w:themeTint="D8"/>
    </w:rPr>
  </w:style>
  <w:style w:type="paragraph" w:styleId="Titel">
    <w:name w:val="Title"/>
    <w:basedOn w:val="Standard"/>
    <w:next w:val="Standard"/>
    <w:link w:val="TitelZchn"/>
    <w:uiPriority w:val="10"/>
    <w:qFormat/>
    <w:rsid w:val="00323D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23D1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23D1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23D1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23D1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23D12"/>
    <w:rPr>
      <w:i/>
      <w:iCs/>
      <w:color w:val="404040" w:themeColor="text1" w:themeTint="BF"/>
    </w:rPr>
  </w:style>
  <w:style w:type="paragraph" w:styleId="Listenabsatz">
    <w:name w:val="List Paragraph"/>
    <w:basedOn w:val="Standard"/>
    <w:uiPriority w:val="34"/>
    <w:qFormat/>
    <w:rsid w:val="00323D12"/>
    <w:pPr>
      <w:ind w:left="720"/>
      <w:contextualSpacing/>
    </w:pPr>
  </w:style>
  <w:style w:type="character" w:styleId="IntensiveHervorhebung">
    <w:name w:val="Intense Emphasis"/>
    <w:basedOn w:val="Absatz-Standardschriftart"/>
    <w:uiPriority w:val="21"/>
    <w:qFormat/>
    <w:rsid w:val="00323D12"/>
    <w:rPr>
      <w:i/>
      <w:iCs/>
      <w:color w:val="0F4761" w:themeColor="accent1" w:themeShade="BF"/>
    </w:rPr>
  </w:style>
  <w:style w:type="paragraph" w:styleId="IntensivesZitat">
    <w:name w:val="Intense Quote"/>
    <w:basedOn w:val="Standard"/>
    <w:next w:val="Standard"/>
    <w:link w:val="IntensivesZitatZchn"/>
    <w:uiPriority w:val="30"/>
    <w:qFormat/>
    <w:rsid w:val="00323D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23D12"/>
    <w:rPr>
      <w:i/>
      <w:iCs/>
      <w:color w:val="0F4761" w:themeColor="accent1" w:themeShade="BF"/>
    </w:rPr>
  </w:style>
  <w:style w:type="character" w:styleId="IntensiverVerweis">
    <w:name w:val="Intense Reference"/>
    <w:basedOn w:val="Absatz-Standardschriftart"/>
    <w:uiPriority w:val="32"/>
    <w:qFormat/>
    <w:rsid w:val="00323D12"/>
    <w:rPr>
      <w:b/>
      <w:bCs/>
      <w:smallCaps/>
      <w:color w:val="0F4761" w:themeColor="accent1" w:themeShade="BF"/>
      <w:spacing w:val="5"/>
    </w:rPr>
  </w:style>
  <w:style w:type="character" w:styleId="Hyperlink">
    <w:name w:val="Hyperlink"/>
    <w:basedOn w:val="Absatz-Standardschriftart"/>
    <w:uiPriority w:val="99"/>
    <w:unhideWhenUsed/>
    <w:rsid w:val="00323D12"/>
    <w:rPr>
      <w:color w:val="467886" w:themeColor="hyperlink"/>
      <w:u w:val="single"/>
    </w:rPr>
  </w:style>
  <w:style w:type="character" w:styleId="NichtaufgelsteErwhnung">
    <w:name w:val="Unresolved Mention"/>
    <w:basedOn w:val="Absatz-Standardschriftart"/>
    <w:uiPriority w:val="99"/>
    <w:semiHidden/>
    <w:unhideWhenUsed/>
    <w:rsid w:val="00323D12"/>
    <w:rPr>
      <w:color w:val="605E5C"/>
      <w:shd w:val="clear" w:color="auto" w:fill="E1DFDD"/>
    </w:rPr>
  </w:style>
  <w:style w:type="paragraph" w:styleId="Kopfzeile">
    <w:name w:val="header"/>
    <w:basedOn w:val="Standard"/>
    <w:link w:val="KopfzeileZchn"/>
    <w:uiPriority w:val="99"/>
    <w:unhideWhenUsed/>
    <w:rsid w:val="0034038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4038C"/>
  </w:style>
  <w:style w:type="paragraph" w:styleId="Fuzeile">
    <w:name w:val="footer"/>
    <w:basedOn w:val="Standard"/>
    <w:link w:val="FuzeileZchn"/>
    <w:uiPriority w:val="99"/>
    <w:unhideWhenUsed/>
    <w:rsid w:val="0034038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4038C"/>
  </w:style>
  <w:style w:type="paragraph" w:styleId="Funotentext">
    <w:name w:val="footnote text"/>
    <w:basedOn w:val="Standard"/>
    <w:link w:val="FunotentextZchn"/>
    <w:uiPriority w:val="99"/>
    <w:semiHidden/>
    <w:unhideWhenUsed/>
    <w:rsid w:val="004E4B70"/>
    <w:pPr>
      <w:spacing w:after="0" w:line="240" w:lineRule="auto"/>
    </w:pPr>
    <w:rPr>
      <w:sz w:val="20"/>
      <w:szCs w:val="20"/>
    </w:rPr>
  </w:style>
  <w:style w:type="character" w:customStyle="1" w:styleId="FunotentextZchn">
    <w:name w:val="Fußnotentext Zchn"/>
    <w:basedOn w:val="Absatz-Standardschriftart"/>
    <w:link w:val="Funotentext"/>
    <w:uiPriority w:val="99"/>
    <w:semiHidden/>
    <w:qFormat/>
    <w:rsid w:val="004E4B70"/>
    <w:rPr>
      <w:sz w:val="20"/>
      <w:szCs w:val="20"/>
    </w:rPr>
  </w:style>
  <w:style w:type="character" w:styleId="Funotenzeichen">
    <w:name w:val="footnote reference"/>
    <w:basedOn w:val="Absatz-Standardschriftart"/>
    <w:unhideWhenUsed/>
    <w:qFormat/>
    <w:rsid w:val="004E4B70"/>
    <w:rPr>
      <w:vertAlign w:val="superscript"/>
    </w:rPr>
  </w:style>
  <w:style w:type="character" w:customStyle="1" w:styleId="Funotenanker">
    <w:name w:val="Fußnotenanker"/>
    <w:rsid w:val="001241AB"/>
    <w:rPr>
      <w:vertAlign w:val="superscript"/>
    </w:rPr>
  </w:style>
  <w:style w:type="character" w:customStyle="1" w:styleId="Internetverknpfung">
    <w:name w:val="Internetverknüpfung"/>
    <w:basedOn w:val="Absatz-Standardschriftart"/>
    <w:uiPriority w:val="99"/>
    <w:unhideWhenUsed/>
    <w:rsid w:val="001241AB"/>
    <w:rPr>
      <w:color w:val="467886" w:themeColor="hyperlink"/>
      <w:u w:val="single"/>
    </w:rPr>
  </w:style>
  <w:style w:type="paragraph" w:styleId="NurText">
    <w:name w:val="Plain Text"/>
    <w:basedOn w:val="Standard"/>
    <w:link w:val="NurTextZchn"/>
    <w:uiPriority w:val="99"/>
    <w:semiHidden/>
    <w:unhideWhenUsed/>
    <w:rsid w:val="002C26E6"/>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2C26E6"/>
    <w:rPr>
      <w:rFonts w:ascii="Consolas" w:hAnsi="Consolas"/>
      <w:sz w:val="21"/>
      <w:szCs w:val="21"/>
    </w:rPr>
  </w:style>
  <w:style w:type="character" w:styleId="BesuchterLink">
    <w:name w:val="FollowedHyperlink"/>
    <w:basedOn w:val="Absatz-Standardschriftart"/>
    <w:uiPriority w:val="99"/>
    <w:semiHidden/>
    <w:unhideWhenUsed/>
    <w:rsid w:val="00F843C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18909">
      <w:bodyDiv w:val="1"/>
      <w:marLeft w:val="0"/>
      <w:marRight w:val="0"/>
      <w:marTop w:val="0"/>
      <w:marBottom w:val="0"/>
      <w:divBdr>
        <w:top w:val="none" w:sz="0" w:space="0" w:color="auto"/>
        <w:left w:val="none" w:sz="0" w:space="0" w:color="auto"/>
        <w:bottom w:val="none" w:sz="0" w:space="0" w:color="auto"/>
        <w:right w:val="none" w:sz="0" w:space="0" w:color="auto"/>
      </w:divBdr>
    </w:div>
    <w:div w:id="134029243">
      <w:bodyDiv w:val="1"/>
      <w:marLeft w:val="0"/>
      <w:marRight w:val="0"/>
      <w:marTop w:val="0"/>
      <w:marBottom w:val="0"/>
      <w:divBdr>
        <w:top w:val="none" w:sz="0" w:space="0" w:color="auto"/>
        <w:left w:val="none" w:sz="0" w:space="0" w:color="auto"/>
        <w:bottom w:val="none" w:sz="0" w:space="0" w:color="auto"/>
        <w:right w:val="none" w:sz="0" w:space="0" w:color="auto"/>
      </w:divBdr>
    </w:div>
    <w:div w:id="468211439">
      <w:bodyDiv w:val="1"/>
      <w:marLeft w:val="0"/>
      <w:marRight w:val="0"/>
      <w:marTop w:val="0"/>
      <w:marBottom w:val="0"/>
      <w:divBdr>
        <w:top w:val="none" w:sz="0" w:space="0" w:color="auto"/>
        <w:left w:val="none" w:sz="0" w:space="0" w:color="auto"/>
        <w:bottom w:val="none" w:sz="0" w:space="0" w:color="auto"/>
        <w:right w:val="none" w:sz="0" w:space="0" w:color="auto"/>
      </w:divBdr>
    </w:div>
    <w:div w:id="206040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iedrich.merz@bundestag.de" TargetMode="External"/><Relationship Id="rId13" Type="http://schemas.openxmlformats.org/officeDocument/2006/relationships/hyperlink" Target="mailto:guenter.krings@bundestag.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sanne.hierl@bundestag.d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areike.wulf@bundestag.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lvia.breher@bundestag.de" TargetMode="External"/><Relationship Id="rId5" Type="http://schemas.openxmlformats.org/officeDocument/2006/relationships/webSettings" Target="webSettings.xml"/><Relationship Id="rId15" Type="http://schemas.openxmlformats.org/officeDocument/2006/relationships/hyperlink" Target="mailto:elisabeth.winkelmeier-becker@bundestag.de" TargetMode="External"/><Relationship Id="rId10" Type="http://schemas.openxmlformats.org/officeDocument/2006/relationships/hyperlink" Target="mailto:dorothee.baer@bundestag.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lexander.dobrindt@bundestag.de" TargetMode="External"/><Relationship Id="rId14" Type="http://schemas.openxmlformats.org/officeDocument/2006/relationships/hyperlink" Target="mailto:andrea.lindholz@bundestag.d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bmfsfj.de/resource/blob/227180/c223f114874cb13b5ab5e96ee4baae82/laz-data.pdf" TargetMode="External"/><Relationship Id="rId2" Type="http://schemas.openxmlformats.org/officeDocument/2006/relationships/hyperlink" Target="https://documents.un.org/doc/undoc/gen/n24/249/94/pdf/n2424994.pdf" TargetMode="External"/><Relationship Id="rId1" Type="http://schemas.openxmlformats.org/officeDocument/2006/relationships/hyperlink" Target="https://www.bmfsfj.de/resource/blob/224548/ee3826a31ca706aed23053b633ff5c60/entwurf-selbstbestimmungsgesetz-data.pdf" TargetMode="External"/><Relationship Id="rId4" Type="http://schemas.openxmlformats.org/officeDocument/2006/relationships/hyperlink" Target="https://www.laz-reloaded.de/der-letzte-coup-verschaerfende-und-verschleiernde-aenderungen-des-sbg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A20B0-1D76-40DB-B0B9-D03ACABF1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1054</Words>
  <Characters>6641</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Gunda Schumann</dc:creator>
  <cp:keywords/>
  <dc:description/>
  <cp:lastModifiedBy>Härdel</cp:lastModifiedBy>
  <cp:revision>3</cp:revision>
  <cp:lastPrinted>2025-01-11T09:55:00Z</cp:lastPrinted>
  <dcterms:created xsi:type="dcterms:W3CDTF">2025-01-13T13:48:00Z</dcterms:created>
  <dcterms:modified xsi:type="dcterms:W3CDTF">2025-01-13T13:53:00Z</dcterms:modified>
</cp:coreProperties>
</file>